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90" w:lineRule="exact"/>
        <w:jc w:val="center"/>
        <w:textAlignment w:val="auto"/>
        <w:outlineLvl w:val="9"/>
        <w:rPr>
          <w:rFonts w:hint="default" w:ascii="Times New Roman" w:hAnsi="Times New Roman" w:eastAsia="方正小标宋简体" w:cs="Times New Roman"/>
          <w:b/>
          <w:color w:val="000000"/>
          <w:spacing w:val="-4"/>
          <w:kern w:val="0"/>
          <w:sz w:val="21"/>
          <w:szCs w:val="21"/>
          <w:lang w:val="en-US" w:eastAsia="zh-CN" w:bidi="ar"/>
        </w:rPr>
      </w:pPr>
    </w:p>
    <w:p>
      <w:pPr>
        <w:pStyle w:val="11"/>
        <w:keepNext w:val="0"/>
        <w:keepLines w:val="0"/>
        <w:pageBreakBefore w:val="0"/>
        <w:widowControl/>
        <w:kinsoku/>
        <w:wordWrap/>
        <w:overflowPunct/>
        <w:topLinePunct w:val="0"/>
        <w:autoSpaceDE/>
        <w:autoSpaceDN/>
        <w:bidi w:val="0"/>
        <w:adjustRightInd/>
        <w:snapToGrid/>
        <w:spacing w:line="590" w:lineRule="exact"/>
        <w:textAlignment w:val="baseline"/>
        <w:rPr>
          <w:rFonts w:hint="default" w:ascii="Times New Roman" w:hAnsi="Times New Roman" w:cs="Times New Roman"/>
          <w:spacing w:val="-4"/>
          <w:lang w:val="en-US" w:eastAsia="zh-CN"/>
        </w:rPr>
      </w:pPr>
    </w:p>
    <w:p>
      <w:pPr>
        <w:pStyle w:val="18"/>
        <w:keepNext w:val="0"/>
        <w:keepLines w:val="0"/>
        <w:pageBreakBefore w:val="0"/>
        <w:widowControl/>
        <w:kinsoku/>
        <w:wordWrap/>
        <w:overflowPunct/>
        <w:topLinePunct w:val="0"/>
        <w:autoSpaceDE/>
        <w:autoSpaceDN/>
        <w:bidi w:val="0"/>
        <w:adjustRightInd/>
        <w:snapToGrid/>
        <w:spacing w:after="0" w:line="600" w:lineRule="exact"/>
        <w:ind w:left="0" w:leftChars="0" w:firstLine="0" w:firstLineChars="0"/>
        <w:textAlignment w:val="baseline"/>
        <w:rPr>
          <w:rFonts w:hint="default" w:ascii="Times New Roman" w:hAnsi="Times New Roman" w:cs="Times New Roman"/>
          <w:spacing w:val="-4"/>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center"/>
        <w:textAlignment w:val="auto"/>
        <w:rPr>
          <w:rFonts w:hint="default" w:ascii="Times New Roman" w:hAnsi="Times New Roman" w:eastAsia="方正小标宋简体" w:cs="Times New Roman"/>
          <w:color w:val="000000"/>
          <w:spacing w:val="-4"/>
          <w:sz w:val="44"/>
          <w:szCs w:val="44"/>
        </w:rPr>
      </w:pPr>
      <w:r>
        <w:rPr>
          <w:rFonts w:hint="default" w:ascii="Times New Roman" w:hAnsi="Times New Roman" w:eastAsia="方正小标宋简体" w:cs="Times New Roman"/>
          <w:color w:val="000000"/>
          <w:spacing w:val="-4"/>
          <w:sz w:val="44"/>
          <w:szCs w:val="44"/>
          <w:lang w:eastAsia="zh-CN"/>
        </w:rPr>
        <w:t>大英县商</w:t>
      </w:r>
      <w:r>
        <w:rPr>
          <w:rFonts w:hint="default" w:ascii="Times New Roman" w:hAnsi="Times New Roman" w:eastAsia="方正小标宋简体" w:cs="Times New Roman"/>
          <w:color w:val="000000"/>
          <w:spacing w:val="-4"/>
          <w:sz w:val="44"/>
          <w:szCs w:val="44"/>
          <w:highlight w:val="none"/>
          <w:lang w:eastAsia="zh-CN"/>
        </w:rPr>
        <w:t>务和经</w:t>
      </w:r>
      <w:r>
        <w:rPr>
          <w:rFonts w:hint="default" w:ascii="Times New Roman" w:hAnsi="Times New Roman" w:eastAsia="方正小标宋简体" w:cs="Times New Roman"/>
          <w:color w:val="000000"/>
          <w:spacing w:val="-4"/>
          <w:sz w:val="44"/>
          <w:szCs w:val="44"/>
          <w:lang w:eastAsia="zh-CN"/>
        </w:rPr>
        <w:t>济合作局</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0"/>
        <w:jc w:val="center"/>
        <w:textAlignment w:val="auto"/>
        <w:rPr>
          <w:rFonts w:hint="default" w:ascii="Times New Roman" w:hAnsi="Times New Roman" w:eastAsia="方正小标宋简体" w:cs="Times New Roman"/>
          <w:spacing w:val="-4"/>
          <w:sz w:val="44"/>
          <w:szCs w:val="44"/>
          <w:lang w:val="en-US" w:eastAsia="zh-CN"/>
        </w:rPr>
      </w:pPr>
      <w:r>
        <w:rPr>
          <w:rFonts w:hint="eastAsia" w:ascii="Times New Roman" w:hAnsi="Times New Roman" w:eastAsia="方正小标宋简体" w:cs="方正小标宋简体"/>
          <w:spacing w:val="-4"/>
          <w:sz w:val="44"/>
          <w:szCs w:val="44"/>
          <w:lang w:val="en-US" w:eastAsia="zh-CN"/>
        </w:rPr>
        <w:t>关于</w:t>
      </w:r>
      <w:r>
        <w:rPr>
          <w:rFonts w:hint="eastAsia" w:ascii="Times New Roman" w:hAnsi="Times New Roman" w:eastAsia="方正小标宋简体"/>
          <w:spacing w:val="-4"/>
          <w:sz w:val="44"/>
          <w:szCs w:val="44"/>
          <w:lang w:val="en-US" w:eastAsia="zh-CN"/>
        </w:rPr>
        <w:t>项目支出绩效自评</w:t>
      </w:r>
      <w:r>
        <w:rPr>
          <w:rFonts w:hint="eastAsia" w:ascii="Times New Roman" w:hAnsi="Times New Roman" w:eastAsia="方正小标宋简体" w:cs="方正小标宋简体"/>
          <w:spacing w:val="-4"/>
          <w:sz w:val="44"/>
          <w:szCs w:val="44"/>
          <w:lang w:val="en-US" w:eastAsia="zh-CN"/>
        </w:rPr>
        <w:t>报</w:t>
      </w:r>
      <w:r>
        <w:rPr>
          <w:rFonts w:hint="default" w:ascii="Times New Roman" w:hAnsi="Times New Roman" w:eastAsia="方正小标宋简体" w:cs="Times New Roman"/>
          <w:spacing w:val="-4"/>
          <w:sz w:val="44"/>
          <w:szCs w:val="44"/>
          <w:lang w:val="en-US" w:eastAsia="zh-CN"/>
        </w:rPr>
        <w:t>告</w:t>
      </w:r>
    </w:p>
    <w:p>
      <w:pPr>
        <w:keepNext w:val="0"/>
        <w:keepLines w:val="0"/>
        <w:pageBreakBefore w:val="0"/>
        <w:widowControl w:val="0"/>
        <w:tabs>
          <w:tab w:val="left" w:pos="3885"/>
        </w:tabs>
        <w:kinsoku/>
        <w:wordWrap/>
        <w:overflowPunct/>
        <w:topLinePunct w:val="0"/>
        <w:autoSpaceDE/>
        <w:autoSpaceDN/>
        <w:bidi w:val="0"/>
        <w:adjustRightInd/>
        <w:snapToGrid w:val="0"/>
        <w:spacing w:line="590" w:lineRule="exact"/>
        <w:ind w:left="0" w:leftChars="0"/>
        <w:jc w:val="center"/>
        <w:textAlignment w:val="auto"/>
        <w:outlineLvl w:val="9"/>
        <w:rPr>
          <w:rFonts w:hint="default" w:ascii="Times New Roman" w:hAnsi="Times New Roman" w:eastAsia="方正小标宋简体" w:cs="Times New Roman"/>
          <w:b/>
          <w:bCs/>
          <w:spacing w:val="-4"/>
          <w:sz w:val="32"/>
          <w:szCs w:val="32"/>
          <w:lang w:val="en-US" w:eastAsia="zh-CN"/>
        </w:rPr>
      </w:pPr>
      <w:r>
        <w:rPr>
          <w:rFonts w:hint="eastAsia" w:ascii="Times New Roman" w:hAnsi="Times New Roman" w:eastAsia="楷体_GB2312" w:cs="楷体_GB2312"/>
          <w:b/>
          <w:bCs/>
          <w:spacing w:val="-4"/>
          <w:sz w:val="32"/>
          <w:szCs w:val="32"/>
        </w:rPr>
        <w:t>（</w:t>
      </w:r>
      <w:r>
        <w:rPr>
          <w:rFonts w:hint="eastAsia" w:ascii="Times New Roman" w:hAnsi="Times New Roman" w:eastAsia="楷体_GB2312" w:cs="楷体_GB2312"/>
          <w:b/>
          <w:bCs/>
          <w:spacing w:val="-4"/>
          <w:sz w:val="32"/>
          <w:szCs w:val="32"/>
          <w:lang w:val="en-US" w:eastAsia="zh-CN"/>
        </w:rPr>
        <w:t>2023年电子商务发展促进资金项目</w:t>
      </w:r>
      <w:r>
        <w:rPr>
          <w:rFonts w:hint="eastAsia" w:ascii="Times New Roman" w:hAnsi="Times New Roman" w:eastAsia="楷体_GB2312" w:cs="楷体_GB2312"/>
          <w:b/>
          <w:bCs/>
          <w:spacing w:val="-4"/>
          <w:sz w:val="32"/>
          <w:szCs w:val="32"/>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jc w:val="both"/>
        <w:textAlignment w:val="baseline"/>
        <w:outlineLvl w:val="9"/>
        <w:rPr>
          <w:rFonts w:hint="default" w:ascii="Times New Roman" w:hAnsi="Times New Roman" w:eastAsia="仿宋_GB2312" w:cs="Times New Roman"/>
          <w:color w:val="000000"/>
          <w:spacing w:val="-4"/>
          <w:sz w:val="32"/>
          <w:lang w:val="en-US" w:eastAsia="zh-CN"/>
        </w:rPr>
      </w:pP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4" w:firstLineChars="200"/>
        <w:jc w:val="left"/>
        <w:textAlignment w:val="auto"/>
        <w:outlineLvl w:val="9"/>
        <w:rPr>
          <w:rFonts w:hint="eastAsia" w:ascii="Times New Roman" w:hAnsi="Times New Roman" w:eastAsia="黑体"/>
          <w:spacing w:val="-4"/>
          <w:sz w:val="32"/>
          <w:szCs w:val="32"/>
          <w:lang w:eastAsia="zh-CN"/>
        </w:rPr>
      </w:pPr>
      <w:r>
        <w:rPr>
          <w:rFonts w:hint="eastAsia" w:ascii="Times New Roman" w:hAnsi="Times New Roman" w:eastAsia="黑体"/>
          <w:spacing w:val="-4"/>
          <w:sz w:val="32"/>
          <w:szCs w:val="32"/>
          <w:lang w:val="en-US" w:eastAsia="zh-CN"/>
        </w:rPr>
        <w:t>一、</w:t>
      </w:r>
      <w:r>
        <w:rPr>
          <w:rFonts w:hint="eastAsia" w:ascii="Times New Roman" w:hAnsi="Times New Roman" w:eastAsia="黑体"/>
          <w:spacing w:val="-4"/>
          <w:sz w:val="32"/>
          <w:szCs w:val="32"/>
          <w:lang w:eastAsia="zh-CN"/>
        </w:rPr>
        <w:t>基本情况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7" w:firstLineChars="200"/>
        <w:jc w:val="left"/>
        <w:textAlignment w:val="auto"/>
        <w:outlineLvl w:val="9"/>
        <w:rPr>
          <w:rFonts w:hint="eastAsia" w:ascii="Times New Roman" w:hAnsi="Times New Roman" w:eastAsia="楷体_GB2312" w:cs="Times New Roman"/>
          <w:b/>
          <w:spacing w:val="-4"/>
          <w:sz w:val="32"/>
          <w:szCs w:val="32"/>
          <w:lang w:eastAsia="zh-CN"/>
        </w:rPr>
      </w:pPr>
      <w:r>
        <w:rPr>
          <w:rFonts w:hint="eastAsia" w:ascii="Times New Roman" w:hAnsi="Times New Roman" w:eastAsia="楷体_GB2312" w:cs="Times New Roman"/>
          <w:b/>
          <w:spacing w:val="-4"/>
          <w:sz w:val="32"/>
          <w:szCs w:val="32"/>
        </w:rPr>
        <w:t>（一）</w:t>
      </w:r>
      <w:r>
        <w:rPr>
          <w:rFonts w:hint="eastAsia" w:ascii="Times New Roman" w:hAnsi="Times New Roman" w:eastAsia="楷体_GB2312" w:cs="Times New Roman"/>
          <w:b/>
          <w:spacing w:val="-4"/>
          <w:sz w:val="32"/>
          <w:szCs w:val="32"/>
          <w:lang w:eastAsia="zh-CN"/>
        </w:rPr>
        <w:t>项目概况</w:t>
      </w:r>
    </w:p>
    <w:p>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590" w:lineRule="exact"/>
        <w:ind w:left="0" w:right="0" w:firstLine="624" w:firstLineChars="200"/>
        <w:jc w:val="both"/>
        <w:rPr>
          <w:rFonts w:hint="eastAsia" w:ascii="Times New Roman" w:hAnsi="Times New Roman" w:eastAsia="仿宋_GB2312" w:cstheme="minorBidi"/>
          <w:color w:val="000000"/>
          <w:spacing w:val="-4"/>
          <w:kern w:val="2"/>
          <w:sz w:val="32"/>
          <w:szCs w:val="32"/>
          <w:lang w:val="en-US" w:eastAsia="zh-CN" w:bidi="ar-SA"/>
        </w:rPr>
      </w:pPr>
      <w:r>
        <w:rPr>
          <w:rFonts w:hint="eastAsia" w:ascii="Times New Roman" w:hAnsi="Times New Roman" w:eastAsia="仿宋_GB2312" w:cs="仿宋_GB2312"/>
          <w:spacing w:val="-4"/>
          <w:sz w:val="32"/>
          <w:szCs w:val="32"/>
          <w:lang w:val="en-US" w:eastAsia="zh-CN"/>
        </w:rPr>
        <w:t>2023年</w:t>
      </w:r>
      <w:r>
        <w:rPr>
          <w:rFonts w:hint="eastAsia" w:ascii="Times New Roman" w:hAnsi="Times New Roman" w:eastAsia="仿宋_GB2312" w:cs="仿宋_GB2312"/>
          <w:spacing w:val="-4"/>
          <w:sz w:val="32"/>
          <w:szCs w:val="32"/>
        </w:rPr>
        <w:t>电子商务在促消费、扩就业，及带动产业数字化转型等方面作出了积极贡献，极大地推动了现代服务业转型升级，为拉动消费、促进社消零增长、加快内贸流通</w:t>
      </w:r>
      <w:r>
        <w:rPr>
          <w:rFonts w:hint="eastAsia" w:ascii="Times New Roman" w:hAnsi="Times New Roman" w:eastAsia="仿宋_GB2312" w:cs="仿宋_GB2312"/>
          <w:spacing w:val="-4"/>
          <w:sz w:val="32"/>
          <w:szCs w:val="32"/>
          <w:lang w:eastAsia="zh-CN"/>
        </w:rPr>
        <w:t>发展</w:t>
      </w:r>
      <w:r>
        <w:rPr>
          <w:rFonts w:hint="eastAsia" w:ascii="Times New Roman" w:hAnsi="Times New Roman" w:eastAsia="仿宋_GB2312" w:cs="仿宋_GB2312"/>
          <w:spacing w:val="-4"/>
          <w:sz w:val="32"/>
          <w:szCs w:val="32"/>
          <w:lang w:val="en-US" w:eastAsia="zh-CN"/>
        </w:rPr>
        <w:t>等方面</w:t>
      </w:r>
      <w:r>
        <w:rPr>
          <w:rFonts w:hint="eastAsia" w:ascii="Times New Roman" w:hAnsi="Times New Roman" w:eastAsia="仿宋_GB2312" w:cs="仿宋_GB2312"/>
          <w:spacing w:val="-4"/>
          <w:sz w:val="32"/>
          <w:szCs w:val="32"/>
        </w:rPr>
        <w:t>贡献了重要力量，成为稳定经济增长和高质量发展的重要动能。</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7" w:firstLineChars="200"/>
        <w:jc w:val="left"/>
        <w:textAlignment w:val="auto"/>
        <w:outlineLvl w:val="9"/>
        <w:rPr>
          <w:rFonts w:hint="eastAsia" w:ascii="Times New Roman" w:hAnsi="Times New Roman" w:eastAsia="楷体_GB2312" w:cs="Times New Roman"/>
          <w:b/>
          <w:spacing w:val="-4"/>
          <w:sz w:val="32"/>
          <w:szCs w:val="32"/>
          <w:lang w:val="en-US" w:eastAsia="zh-CN"/>
        </w:rPr>
      </w:pPr>
      <w:r>
        <w:rPr>
          <w:rFonts w:hint="eastAsia" w:ascii="Times New Roman" w:hAnsi="Times New Roman" w:eastAsia="楷体_GB2312" w:cs="Times New Roman"/>
          <w:b/>
          <w:spacing w:val="-4"/>
          <w:sz w:val="32"/>
          <w:szCs w:val="32"/>
          <w:lang w:val="en-US" w:eastAsia="zh-CN"/>
        </w:rPr>
        <w:t>（二）项目实施情况</w:t>
      </w:r>
    </w:p>
    <w:p>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590" w:lineRule="exact"/>
        <w:ind w:left="0" w:right="0" w:firstLine="624" w:firstLineChars="200"/>
        <w:jc w:val="both"/>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通过搭建本地网销平台、加强与知名电商合作、用好用活新媒体载体、培育壮大电商人才队伍、参加电子商务促进活动等，切实做好202</w:t>
      </w:r>
      <w:r>
        <w:rPr>
          <w:rFonts w:hint="default" w:ascii="Times New Roman" w:hAnsi="Times New Roman" w:eastAsia="仿宋_GB2312" w:cs="仿宋_GB2312"/>
          <w:spacing w:val="-4"/>
          <w:sz w:val="32"/>
          <w:szCs w:val="32"/>
          <w:lang w:val="en" w:eastAsia="zh-CN"/>
        </w:rPr>
        <w:t>3</w:t>
      </w:r>
      <w:r>
        <w:rPr>
          <w:rFonts w:hint="eastAsia" w:ascii="Times New Roman" w:hAnsi="Times New Roman" w:eastAsia="仿宋_GB2312" w:cs="仿宋_GB2312"/>
          <w:spacing w:val="-4"/>
          <w:sz w:val="32"/>
          <w:szCs w:val="32"/>
          <w:lang w:val="en-US" w:eastAsia="zh-CN"/>
        </w:rPr>
        <w:t>电子商务产业发展工作。</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7" w:firstLineChars="200"/>
        <w:jc w:val="left"/>
        <w:textAlignment w:val="auto"/>
        <w:outlineLvl w:val="9"/>
        <w:rPr>
          <w:rFonts w:hint="eastAsia" w:ascii="Times New Roman" w:hAnsi="Times New Roman" w:eastAsia="楷体_GB2312" w:cs="Times New Roman"/>
          <w:b/>
          <w:spacing w:val="-4"/>
          <w:sz w:val="32"/>
          <w:szCs w:val="32"/>
          <w:lang w:val="en-US" w:eastAsia="zh-CN"/>
        </w:rPr>
      </w:pPr>
      <w:r>
        <w:rPr>
          <w:rFonts w:hint="eastAsia" w:ascii="Times New Roman" w:hAnsi="Times New Roman" w:eastAsia="楷体_GB2312" w:cs="Times New Roman"/>
          <w:b/>
          <w:spacing w:val="-4"/>
          <w:sz w:val="32"/>
          <w:szCs w:val="32"/>
          <w:lang w:val="en-US" w:eastAsia="zh-CN"/>
        </w:rPr>
        <w:t>（三）资金投入使用情况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4" w:firstLineChars="200"/>
        <w:jc w:val="left"/>
        <w:textAlignment w:val="auto"/>
        <w:outlineLvl w:val="9"/>
        <w:rPr>
          <w:rFonts w:hint="eastAsia" w:ascii="Times New Roman" w:hAnsi="Times New Roman" w:cs="Times New Roman"/>
          <w:color w:val="000000"/>
          <w:spacing w:val="-4"/>
          <w:sz w:val="32"/>
          <w:szCs w:val="32"/>
          <w:lang w:val="en-US" w:eastAsia="zh-CN"/>
        </w:rPr>
      </w:pPr>
      <w:r>
        <w:rPr>
          <w:rFonts w:hint="eastAsia" w:ascii="Times New Roman" w:hAnsi="Times New Roman" w:eastAsia="仿宋_GB2312" w:cs="仿宋_GB2312"/>
          <w:spacing w:val="-4"/>
          <w:sz w:val="32"/>
          <w:szCs w:val="32"/>
          <w:lang w:val="en-US" w:eastAsia="zh-CN"/>
        </w:rPr>
        <w:t>电子商务发展促进资金预算10.5万元，实际支出10.5万元，无结余资金，预算执行率100%。</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7" w:firstLineChars="200"/>
        <w:jc w:val="left"/>
        <w:textAlignment w:val="auto"/>
        <w:outlineLvl w:val="9"/>
        <w:rPr>
          <w:rFonts w:hint="eastAsia" w:ascii="Times New Roman" w:hAnsi="Times New Roman" w:eastAsia="楷体_GB2312" w:cs="Times New Roman"/>
          <w:b/>
          <w:spacing w:val="-4"/>
          <w:sz w:val="32"/>
          <w:szCs w:val="32"/>
          <w:lang w:val="en-US" w:eastAsia="zh-CN"/>
        </w:rPr>
      </w:pPr>
      <w:r>
        <w:rPr>
          <w:rFonts w:hint="eastAsia" w:ascii="Times New Roman" w:hAnsi="Times New Roman" w:eastAsia="楷体_GB2312" w:cs="Times New Roman"/>
          <w:b/>
          <w:spacing w:val="-4"/>
          <w:sz w:val="32"/>
          <w:szCs w:val="32"/>
          <w:lang w:val="en-US" w:eastAsia="zh-CN"/>
        </w:rPr>
        <w:t>（四）项目绩效目标</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4" w:firstLineChars="200"/>
        <w:jc w:val="left"/>
        <w:textAlignment w:val="auto"/>
        <w:outlineLvl w:val="9"/>
        <w:rPr>
          <w:rFonts w:hint="eastAsia" w:ascii="Times New Roman" w:hAnsi="Times New Roman" w:eastAsia="仿宋_GB2312" w:cs="仿宋_GB2312"/>
          <w:spacing w:val="-4"/>
          <w:sz w:val="32"/>
          <w:szCs w:val="32"/>
          <w:lang w:val="en-US" w:eastAsia="zh-CN"/>
        </w:rPr>
        <w:sectPr>
          <w:pgSz w:w="11906" w:h="16838"/>
          <w:pgMar w:top="1928" w:right="1474" w:bottom="1928" w:left="1587" w:header="851" w:footer="992" w:gutter="0"/>
          <w:pgNumType w:fmt="decimal" w:start="2"/>
          <w:cols w:space="720" w:num="1"/>
          <w:rtlGutter w:val="0"/>
          <w:docGrid w:type="lines" w:linePitch="312" w:charSpace="0"/>
        </w:sectPr>
      </w:pP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4" w:firstLineChars="200"/>
        <w:jc w:val="left"/>
        <w:textAlignment w:val="auto"/>
        <w:outlineLvl w:val="9"/>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开展电子商务培训1次以上，电子商务线上线下展示展销活动等，实现电子商务交易额20亿元以上。</w:t>
      </w:r>
    </w:p>
    <w:p>
      <w:pPr>
        <w:keepNext w:val="0"/>
        <w:keepLines w:val="0"/>
        <w:pageBreakBefore w:val="0"/>
        <w:widowControl w:val="0"/>
        <w:kinsoku/>
        <w:wordWrap/>
        <w:overflowPunct/>
        <w:topLinePunct w:val="0"/>
        <w:autoSpaceDE/>
        <w:autoSpaceDN/>
        <w:bidi w:val="0"/>
        <w:adjustRightInd/>
        <w:snapToGrid w:val="0"/>
        <w:spacing w:line="590" w:lineRule="exact"/>
        <w:ind w:firstLine="624" w:firstLineChars="200"/>
        <w:textAlignment w:val="auto"/>
        <w:outlineLvl w:val="9"/>
        <w:rPr>
          <w:rFonts w:hint="eastAsia" w:ascii="Times New Roman" w:hAnsi="Times New Roman" w:cs="仿宋_GB2312"/>
          <w:spacing w:val="-4"/>
          <w:sz w:val="32"/>
          <w:szCs w:val="32"/>
          <w:lang w:eastAsia="zh-CN"/>
        </w:rPr>
      </w:pPr>
      <w:r>
        <w:rPr>
          <w:rFonts w:hint="eastAsia" w:ascii="Times New Roman" w:hAnsi="Times New Roman" w:eastAsia="黑体" w:cs="黑体"/>
          <w:spacing w:val="-4"/>
          <w:sz w:val="32"/>
          <w:szCs w:val="32"/>
          <w:lang w:eastAsia="zh-CN"/>
        </w:rPr>
        <w:t>二、评价工作开展情况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7" w:firstLineChars="200"/>
        <w:jc w:val="left"/>
        <w:textAlignment w:val="auto"/>
        <w:outlineLvl w:val="9"/>
        <w:rPr>
          <w:rFonts w:hint="eastAsia" w:ascii="Times New Roman" w:hAnsi="Times New Roman" w:eastAsia="楷体_GB2312" w:cs="Times New Roman"/>
          <w:b/>
          <w:spacing w:val="-4"/>
          <w:sz w:val="32"/>
          <w:szCs w:val="32"/>
          <w:lang w:val="en-US" w:eastAsia="zh-CN"/>
        </w:rPr>
      </w:pPr>
      <w:r>
        <w:rPr>
          <w:rFonts w:hint="eastAsia" w:ascii="Times New Roman" w:hAnsi="Times New Roman" w:eastAsia="楷体_GB2312" w:cs="Times New Roman"/>
          <w:b/>
          <w:spacing w:val="-4"/>
          <w:sz w:val="32"/>
          <w:szCs w:val="32"/>
          <w:lang w:val="en-US" w:eastAsia="zh-CN"/>
        </w:rPr>
        <w:t>（一）评价工作流程</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4" w:firstLineChars="200"/>
        <w:jc w:val="left"/>
        <w:textAlignment w:val="auto"/>
        <w:outlineLvl w:val="9"/>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评价工作过程主要包括前期准备、组织实施、分析评价、撰写评价报告4个阶段。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7" w:firstLineChars="200"/>
        <w:jc w:val="left"/>
        <w:textAlignment w:val="auto"/>
        <w:outlineLvl w:val="9"/>
        <w:rPr>
          <w:rFonts w:hint="eastAsia" w:ascii="Times New Roman" w:hAnsi="Times New Roman" w:eastAsia="楷体_GB2312" w:cs="Times New Roman"/>
          <w:b/>
          <w:spacing w:val="-4"/>
          <w:sz w:val="32"/>
          <w:szCs w:val="32"/>
          <w:lang w:val="en-US" w:eastAsia="zh-CN"/>
        </w:rPr>
      </w:pPr>
      <w:r>
        <w:rPr>
          <w:rFonts w:hint="eastAsia" w:ascii="Times New Roman" w:hAnsi="Times New Roman" w:eastAsia="楷体_GB2312" w:cs="Times New Roman"/>
          <w:b/>
          <w:spacing w:val="-4"/>
          <w:sz w:val="32"/>
          <w:szCs w:val="32"/>
          <w:lang w:val="en-US" w:eastAsia="zh-CN"/>
        </w:rPr>
        <w:t>（二）评价指标体系</w:t>
      </w:r>
    </w:p>
    <w:p>
      <w:pPr>
        <w:keepNext w:val="0"/>
        <w:keepLines w:val="0"/>
        <w:pageBreakBefore w:val="0"/>
        <w:widowControl w:val="0"/>
        <w:kinsoku/>
        <w:wordWrap/>
        <w:overflowPunct/>
        <w:topLinePunct w:val="0"/>
        <w:autoSpaceDE/>
        <w:autoSpaceDN/>
        <w:bidi w:val="0"/>
        <w:adjustRightInd/>
        <w:snapToGrid/>
        <w:spacing w:line="590" w:lineRule="exact"/>
        <w:ind w:firstLine="624" w:firstLineChars="200"/>
        <w:textAlignment w:val="auto"/>
        <w:rPr>
          <w:rFonts w:hint="eastAsia" w:ascii="Times New Roman" w:hAnsi="Times New Roman" w:cs="仿宋_GB2312"/>
          <w:b w:val="0"/>
          <w:bCs w:val="0"/>
          <w:spacing w:val="-4"/>
          <w:sz w:val="32"/>
          <w:szCs w:val="32"/>
          <w:lang w:val="en-US" w:eastAsia="zh-CN"/>
        </w:rPr>
      </w:pPr>
      <w:r>
        <w:rPr>
          <w:rFonts w:hint="eastAsia" w:ascii="Times New Roman" w:hAnsi="Times New Roman" w:eastAsia="仿宋_GB2312" w:cs="仿宋_GB2312"/>
          <w:spacing w:val="-4"/>
          <w:sz w:val="32"/>
          <w:szCs w:val="32"/>
          <w:lang w:val="en-US" w:eastAsia="zh-CN"/>
        </w:rPr>
        <w:t>根据《大英县财政局关于开展2024年度部门、项目、政策支出绩效自评工作的通知》(大财发〔2024〕87号)中的2024年县级项目支出绩效评价指标体系。</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7" w:firstLineChars="200"/>
        <w:jc w:val="left"/>
        <w:textAlignment w:val="auto"/>
        <w:outlineLvl w:val="9"/>
        <w:rPr>
          <w:rFonts w:hint="eastAsia" w:ascii="Times New Roman" w:hAnsi="Times New Roman" w:eastAsia="楷体_GB2312" w:cs="Times New Roman"/>
          <w:b/>
          <w:spacing w:val="-4"/>
          <w:sz w:val="32"/>
          <w:szCs w:val="32"/>
          <w:lang w:val="en-US" w:eastAsia="zh-CN"/>
        </w:rPr>
      </w:pPr>
      <w:r>
        <w:rPr>
          <w:rFonts w:hint="eastAsia" w:ascii="Times New Roman" w:hAnsi="Times New Roman" w:eastAsia="楷体_GB2312" w:cs="Times New Roman"/>
          <w:b/>
          <w:spacing w:val="-4"/>
          <w:sz w:val="32"/>
          <w:szCs w:val="32"/>
          <w:lang w:val="en-US" w:eastAsia="zh-CN"/>
        </w:rPr>
        <w:t>（三）评价方法</w:t>
      </w:r>
    </w:p>
    <w:p>
      <w:pPr>
        <w:keepNext w:val="0"/>
        <w:keepLines w:val="0"/>
        <w:pageBreakBefore w:val="0"/>
        <w:kinsoku/>
        <w:wordWrap/>
        <w:overflowPunct/>
        <w:topLinePunct w:val="0"/>
        <w:autoSpaceDE/>
        <w:autoSpaceDN/>
        <w:bidi w:val="0"/>
        <w:adjustRightInd w:val="0"/>
        <w:snapToGrid w:val="0"/>
        <w:spacing w:line="590" w:lineRule="exact"/>
        <w:ind w:leftChars="0" w:firstLine="624" w:firstLineChars="200"/>
        <w:textAlignment w:val="auto"/>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本次绩效评价采用百分制，各级指标依据其指标权重确定分值，最终得分由各级评价指标得分加总形成。根据最终得分将评价标准分为四个等级:优(得分≥90分);良(80分s得分&lt;90分);中(60≤得分&lt;80分);差(得分&lt;60分)。</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right="0" w:rightChars="0" w:firstLine="624" w:firstLineChars="200"/>
        <w:jc w:val="both"/>
        <w:rPr>
          <w:rFonts w:hint="eastAsia" w:ascii="Times New Roman" w:hAnsi="Times New Roman" w:eastAsia="黑体"/>
          <w:spacing w:val="-4"/>
          <w:sz w:val="32"/>
          <w:szCs w:val="32"/>
          <w:lang w:eastAsia="zh-CN"/>
        </w:rPr>
      </w:pPr>
      <w:r>
        <w:rPr>
          <w:rFonts w:hint="eastAsia" w:ascii="Times New Roman" w:hAnsi="Times New Roman" w:eastAsia="黑体"/>
          <w:spacing w:val="-4"/>
          <w:sz w:val="32"/>
          <w:szCs w:val="32"/>
          <w:lang w:val="en-US" w:eastAsia="zh-CN"/>
        </w:rPr>
        <w:t>三、</w:t>
      </w:r>
      <w:r>
        <w:rPr>
          <w:rFonts w:hint="eastAsia" w:ascii="Times New Roman" w:hAnsi="Times New Roman" w:eastAsia="黑体"/>
          <w:spacing w:val="-4"/>
          <w:sz w:val="32"/>
          <w:szCs w:val="32"/>
          <w:lang w:eastAsia="zh-CN"/>
        </w:rPr>
        <w:t>综合</w:t>
      </w:r>
      <w:r>
        <w:rPr>
          <w:rFonts w:hint="eastAsia" w:ascii="Times New Roman" w:hAnsi="Times New Roman" w:eastAsia="黑体"/>
          <w:spacing w:val="-4"/>
          <w:sz w:val="32"/>
          <w:szCs w:val="32"/>
        </w:rPr>
        <w:t>评价结论</w:t>
      </w:r>
    </w:p>
    <w:p>
      <w:pPr>
        <w:keepNext w:val="0"/>
        <w:keepLines w:val="0"/>
        <w:pageBreakBefore w:val="0"/>
        <w:kinsoku/>
        <w:wordWrap/>
        <w:overflowPunct/>
        <w:topLinePunct w:val="0"/>
        <w:autoSpaceDE/>
        <w:autoSpaceDN/>
        <w:bidi w:val="0"/>
        <w:adjustRightInd w:val="0"/>
        <w:snapToGrid w:val="0"/>
        <w:spacing w:line="590" w:lineRule="exact"/>
        <w:ind w:leftChars="0" w:firstLine="624" w:firstLineChars="200"/>
        <w:textAlignment w:val="auto"/>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根据项目评价指标体系标准，2023年电子</w:t>
      </w:r>
      <w:bookmarkStart w:id="0" w:name="_GoBack"/>
      <w:bookmarkEnd w:id="0"/>
      <w:r>
        <w:rPr>
          <w:rFonts w:hint="eastAsia" w:ascii="Times New Roman" w:hAnsi="Times New Roman" w:eastAsia="仿宋_GB2312" w:cs="仿宋_GB2312"/>
          <w:spacing w:val="-4"/>
          <w:sz w:val="32"/>
          <w:szCs w:val="32"/>
          <w:lang w:val="en-US" w:eastAsia="zh-CN"/>
        </w:rPr>
        <w:t>商务发展促进资金项目此次绩效自评结果为“优”。</w:t>
      </w:r>
    </w:p>
    <w:p>
      <w:pPr>
        <w:keepNext w:val="0"/>
        <w:keepLines w:val="0"/>
        <w:pageBreakBefore w:val="0"/>
        <w:widowControl w:val="0"/>
        <w:kinsoku/>
        <w:wordWrap/>
        <w:overflowPunct/>
        <w:topLinePunct w:val="0"/>
        <w:autoSpaceDE/>
        <w:autoSpaceDN/>
        <w:bidi w:val="0"/>
        <w:adjustRightInd/>
        <w:snapToGrid w:val="0"/>
        <w:spacing w:line="590" w:lineRule="exact"/>
        <w:ind w:firstLine="624" w:firstLineChars="200"/>
        <w:textAlignment w:val="auto"/>
        <w:outlineLvl w:val="9"/>
        <w:rPr>
          <w:rFonts w:hint="eastAsia" w:ascii="Times New Roman" w:hAnsi="Times New Roman" w:eastAsia="黑体" w:cs="黑体"/>
          <w:b w:val="0"/>
          <w:bCs/>
          <w:spacing w:val="-4"/>
          <w:sz w:val="32"/>
          <w:szCs w:val="32"/>
          <w:lang w:eastAsia="zh-CN"/>
        </w:rPr>
      </w:pPr>
      <w:r>
        <w:rPr>
          <w:rFonts w:hint="eastAsia" w:ascii="Times New Roman" w:hAnsi="Times New Roman" w:eastAsia="黑体" w:cs="黑体"/>
          <w:b w:val="0"/>
          <w:bCs/>
          <w:spacing w:val="-4"/>
          <w:sz w:val="32"/>
          <w:szCs w:val="32"/>
          <w:lang w:eastAsia="zh-CN"/>
        </w:rPr>
        <w:t>四、绩效评价分析</w:t>
      </w:r>
    </w:p>
    <w:p>
      <w:pPr>
        <w:keepNext w:val="0"/>
        <w:keepLines w:val="0"/>
        <w:pageBreakBefore w:val="0"/>
        <w:kinsoku/>
        <w:wordWrap/>
        <w:overflowPunct/>
        <w:topLinePunct w:val="0"/>
        <w:autoSpaceDE/>
        <w:autoSpaceDN/>
        <w:bidi w:val="0"/>
        <w:adjustRightInd w:val="0"/>
        <w:snapToGrid w:val="0"/>
        <w:spacing w:line="590" w:lineRule="exact"/>
        <w:ind w:leftChars="0" w:firstLine="627" w:firstLineChars="200"/>
        <w:textAlignment w:val="auto"/>
        <w:rPr>
          <w:rFonts w:hint="eastAsia" w:ascii="Times New Roman" w:hAnsi="Times New Roman" w:eastAsia="仿宋_GB2312" w:cs="仿宋_GB2312"/>
          <w:spacing w:val="-4"/>
          <w:sz w:val="32"/>
          <w:szCs w:val="32"/>
          <w:lang w:val="en-US" w:eastAsia="zh-CN"/>
        </w:rPr>
      </w:pPr>
      <w:r>
        <w:rPr>
          <w:rFonts w:hint="eastAsia" w:ascii="Times New Roman" w:hAnsi="Times New Roman" w:eastAsia="楷体_GB2312" w:cs="Times New Roman"/>
          <w:b/>
          <w:spacing w:val="-4"/>
          <w:sz w:val="32"/>
          <w:szCs w:val="32"/>
          <w:lang w:val="en-US" w:eastAsia="zh-CN"/>
        </w:rPr>
        <w:t>（一）项目决策情况。</w:t>
      </w:r>
      <w:r>
        <w:rPr>
          <w:rFonts w:hint="eastAsia" w:ascii="Times New Roman" w:hAnsi="Times New Roman" w:eastAsia="仿宋_GB2312" w:cs="仿宋_GB2312"/>
          <w:spacing w:val="-4"/>
          <w:sz w:val="32"/>
          <w:szCs w:val="32"/>
          <w:lang w:val="en-US" w:eastAsia="zh-CN"/>
        </w:rPr>
        <w:t>落实《大英县人民政府关于加快电子商务产业发展的实施意见》（大府函〔2016〕58号）、《遂宁市人民政府办公室关于印发〈遂宁市促进电商营商高地建设的十三条措施〉的通知》（遂府办函〔2020〕44号）和《四川省商务厅关于印发〈四川电商新业态高质量集聚发展行动方案〉的通知》（川商电商〔2023〕7号）文件要求，大力发展电子商务，包括支持打造电商网销平台、开展电商人才培训、培育电商市场主体、实施电商助农等。</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Times New Roman" w:hAnsi="Times New Roman" w:eastAsia="仿宋_GB2312" w:cs="仿宋_GB2312"/>
          <w:spacing w:val="-4"/>
          <w:sz w:val="32"/>
          <w:szCs w:val="32"/>
          <w:lang w:eastAsia="zh-CN"/>
        </w:rPr>
      </w:pPr>
      <w:r>
        <w:rPr>
          <w:rFonts w:hint="eastAsia" w:ascii="Times New Roman" w:hAnsi="Times New Roman" w:eastAsia="楷体_GB2312" w:cs="Times New Roman"/>
          <w:b/>
          <w:spacing w:val="-4"/>
          <w:sz w:val="32"/>
          <w:szCs w:val="32"/>
          <w:lang w:val="en-US" w:eastAsia="zh-CN"/>
        </w:rPr>
        <w:t>（二）项目管理情况。</w:t>
      </w:r>
      <w:r>
        <w:rPr>
          <w:rFonts w:hint="eastAsia" w:ascii="Times New Roman" w:hAnsi="Times New Roman" w:eastAsia="仿宋_GB2312" w:cs="仿宋_GB2312"/>
          <w:spacing w:val="-4"/>
          <w:sz w:val="32"/>
          <w:szCs w:val="32"/>
          <w:lang w:val="en-US" w:eastAsia="zh-CN"/>
        </w:rPr>
        <w:t>为规范电子商务发展促进资金项目管理，提高专项资金使用效益，推动我县电子商务健康快速发展，制定了《大英县电子商务项目管理制度》。资金分配按照规范性、合理性、及时性原则使用，主要考虑既不偏离标准，又有区域特色的原则推进电子商务发展工作。</w:t>
      </w:r>
    </w:p>
    <w:p>
      <w:pPr>
        <w:keepNext w:val="0"/>
        <w:keepLines w:val="0"/>
        <w:pageBreakBefore w:val="0"/>
        <w:widowControl/>
        <w:kinsoku/>
        <w:wordWrap/>
        <w:overflowPunct/>
        <w:topLinePunct w:val="0"/>
        <w:autoSpaceDE/>
        <w:autoSpaceDN/>
        <w:bidi w:val="0"/>
        <w:adjustRightInd w:val="0"/>
        <w:snapToGrid w:val="0"/>
        <w:spacing w:after="126" w:afterLines="40" w:line="590" w:lineRule="exact"/>
        <w:ind w:left="0" w:right="0" w:firstLine="627" w:firstLineChars="200"/>
        <w:jc w:val="both"/>
        <w:textAlignment w:val="baseline"/>
        <w:rPr>
          <w:rFonts w:hint="eastAsia" w:ascii="Times New Roman" w:hAnsi="Times New Roman" w:eastAsia="楷体_GB2312" w:cs="Times New Roman"/>
          <w:b/>
          <w:spacing w:val="-4"/>
          <w:sz w:val="32"/>
          <w:szCs w:val="32"/>
          <w:lang w:val="en-US" w:eastAsia="zh-CN"/>
        </w:rPr>
      </w:pPr>
      <w:r>
        <w:rPr>
          <w:rFonts w:hint="eastAsia" w:ascii="Times New Roman" w:hAnsi="Times New Roman" w:eastAsia="楷体_GB2312" w:cs="Times New Roman"/>
          <w:b/>
          <w:spacing w:val="-4"/>
          <w:sz w:val="32"/>
          <w:szCs w:val="32"/>
          <w:lang w:val="en-US" w:eastAsia="zh-CN"/>
        </w:rPr>
        <w:t>（三）项目产出情况。</w:t>
      </w:r>
    </w:p>
    <w:tbl>
      <w:tblPr>
        <w:tblStyle w:val="12"/>
        <w:tblW w:w="940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85"/>
        <w:gridCol w:w="1107"/>
        <w:gridCol w:w="1020"/>
        <w:gridCol w:w="3061"/>
        <w:gridCol w:w="2098"/>
        <w:gridCol w:w="15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atLeast"/>
          <w:tblHeader/>
          <w:jc w:val="center"/>
        </w:trPr>
        <w:tc>
          <w:tcPr>
            <w:tcW w:w="585" w:type="dxa"/>
            <w:vMerge w:val="restart"/>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center"/>
              <w:textAlignment w:val="center"/>
              <w:rPr>
                <w:rFonts w:hint="eastAsia" w:ascii="Times New Roman" w:hAnsi="Times New Roman" w:eastAsia="黑体"/>
                <w:color w:val="000000"/>
                <w:spacing w:val="-4"/>
                <w:kern w:val="0"/>
                <w:sz w:val="24"/>
                <w:szCs w:val="22"/>
              </w:rPr>
            </w:pPr>
            <w:r>
              <w:rPr>
                <w:rFonts w:hint="eastAsia" w:ascii="Times New Roman" w:hAnsi="Times New Roman" w:eastAsia="黑体"/>
                <w:color w:val="000000"/>
                <w:spacing w:val="-4"/>
                <w:kern w:val="0"/>
                <w:sz w:val="24"/>
                <w:szCs w:val="22"/>
              </w:rPr>
              <w:t>绩效</w:t>
            </w:r>
          </w:p>
          <w:p>
            <w:pPr>
              <w:keepNext w:val="0"/>
              <w:keepLines w:val="0"/>
              <w:pageBreakBefore w:val="0"/>
              <w:widowControl/>
              <w:kinsoku/>
              <w:wordWrap/>
              <w:overflowPunct/>
              <w:topLinePunct w:val="0"/>
              <w:autoSpaceDE/>
              <w:autoSpaceDN/>
              <w:bidi w:val="0"/>
              <w:adjustRightInd w:val="0"/>
              <w:snapToGrid w:val="0"/>
              <w:spacing w:line="590" w:lineRule="exact"/>
              <w:ind w:left="0" w:right="0"/>
              <w:jc w:val="center"/>
              <w:textAlignment w:val="center"/>
              <w:rPr>
                <w:rFonts w:hint="eastAsia" w:ascii="Times New Roman" w:hAnsi="Times New Roman" w:eastAsia="仿宋_GB2312"/>
                <w:color w:val="000000"/>
                <w:spacing w:val="-4"/>
                <w:sz w:val="24"/>
                <w:szCs w:val="22"/>
              </w:rPr>
            </w:pPr>
            <w:r>
              <w:rPr>
                <w:rFonts w:hint="eastAsia" w:ascii="Times New Roman" w:hAnsi="Times New Roman" w:eastAsia="黑体"/>
                <w:color w:val="000000"/>
                <w:spacing w:val="-4"/>
                <w:kern w:val="0"/>
                <w:sz w:val="24"/>
                <w:szCs w:val="22"/>
              </w:rPr>
              <w:t>指标</w:t>
            </w:r>
          </w:p>
        </w:tc>
        <w:tc>
          <w:tcPr>
            <w:tcW w:w="1107" w:type="dxa"/>
            <w:tcBorders>
              <w:top w:val="single" w:color="000000" w:sz="4" w:space="0"/>
              <w:left w:val="single" w:color="000000" w:sz="4" w:space="0"/>
              <w:bottom w:val="single" w:color="auto"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center"/>
              <w:textAlignment w:val="center"/>
              <w:rPr>
                <w:rFonts w:hint="eastAsia" w:ascii="Times New Roman" w:hAnsi="Times New Roman" w:eastAsia="黑体"/>
                <w:color w:val="000000"/>
                <w:spacing w:val="-4"/>
                <w:sz w:val="24"/>
                <w:szCs w:val="22"/>
              </w:rPr>
            </w:pPr>
            <w:r>
              <w:rPr>
                <w:rFonts w:hint="eastAsia" w:ascii="Times New Roman" w:hAnsi="Times New Roman" w:eastAsia="黑体"/>
                <w:color w:val="000000"/>
                <w:spacing w:val="-4"/>
                <w:kern w:val="0"/>
                <w:sz w:val="24"/>
                <w:szCs w:val="22"/>
              </w:rPr>
              <w:t>一级指标</w:t>
            </w:r>
          </w:p>
        </w:tc>
        <w:tc>
          <w:tcPr>
            <w:tcW w:w="1020" w:type="dxa"/>
            <w:tcBorders>
              <w:top w:val="single" w:color="000000" w:sz="4" w:space="0"/>
              <w:left w:val="single" w:color="000000" w:sz="4" w:space="0"/>
              <w:bottom w:val="single" w:color="auto"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both"/>
              <w:textAlignment w:val="center"/>
              <w:rPr>
                <w:rFonts w:hint="eastAsia" w:ascii="Times New Roman" w:hAnsi="Times New Roman" w:eastAsia="黑体"/>
                <w:color w:val="000000"/>
                <w:spacing w:val="-4"/>
                <w:sz w:val="24"/>
                <w:szCs w:val="22"/>
              </w:rPr>
            </w:pPr>
            <w:r>
              <w:rPr>
                <w:rFonts w:hint="eastAsia" w:ascii="Times New Roman" w:hAnsi="Times New Roman" w:eastAsia="黑体"/>
                <w:color w:val="000000"/>
                <w:spacing w:val="-4"/>
                <w:kern w:val="0"/>
                <w:sz w:val="24"/>
                <w:szCs w:val="22"/>
              </w:rPr>
              <w:t>二级指标</w:t>
            </w:r>
          </w:p>
        </w:tc>
        <w:tc>
          <w:tcPr>
            <w:tcW w:w="3061" w:type="dxa"/>
            <w:tcBorders>
              <w:top w:val="single" w:color="000000" w:sz="4" w:space="0"/>
              <w:left w:val="single" w:color="000000" w:sz="4" w:space="0"/>
              <w:bottom w:val="single" w:color="auto"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center"/>
              <w:textAlignment w:val="center"/>
              <w:rPr>
                <w:rFonts w:hint="eastAsia" w:ascii="Times New Roman" w:hAnsi="Times New Roman" w:eastAsia="黑体"/>
                <w:color w:val="000000"/>
                <w:spacing w:val="-4"/>
                <w:sz w:val="24"/>
                <w:szCs w:val="22"/>
              </w:rPr>
            </w:pPr>
            <w:r>
              <w:rPr>
                <w:rFonts w:hint="eastAsia" w:ascii="Times New Roman" w:hAnsi="Times New Roman" w:eastAsia="黑体"/>
                <w:color w:val="000000"/>
                <w:spacing w:val="-4"/>
                <w:kern w:val="0"/>
                <w:sz w:val="24"/>
                <w:szCs w:val="22"/>
              </w:rPr>
              <w:t>三级指标</w:t>
            </w:r>
          </w:p>
        </w:tc>
        <w:tc>
          <w:tcPr>
            <w:tcW w:w="209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both"/>
              <w:textAlignment w:val="center"/>
              <w:rPr>
                <w:rFonts w:hint="eastAsia" w:ascii="Times New Roman" w:hAnsi="Times New Roman" w:eastAsia="黑体"/>
                <w:color w:val="000000"/>
                <w:spacing w:val="-4"/>
                <w:sz w:val="24"/>
                <w:szCs w:val="22"/>
                <w:lang w:eastAsia="zh-CN"/>
              </w:rPr>
            </w:pPr>
            <w:r>
              <w:rPr>
                <w:rFonts w:hint="eastAsia" w:ascii="Times New Roman" w:hAnsi="Times New Roman" w:eastAsia="黑体"/>
                <w:color w:val="000000"/>
                <w:spacing w:val="-4"/>
                <w:kern w:val="0"/>
                <w:sz w:val="24"/>
                <w:szCs w:val="22"/>
              </w:rPr>
              <w:t>指标值</w:t>
            </w:r>
            <w:r>
              <w:rPr>
                <w:rFonts w:hint="eastAsia" w:ascii="Times New Roman" w:hAnsi="Times New Roman" w:eastAsia="黑体"/>
                <w:color w:val="000000"/>
                <w:spacing w:val="-4"/>
                <w:kern w:val="0"/>
                <w:sz w:val="24"/>
                <w:szCs w:val="22"/>
                <w:lang w:eastAsia="zh-CN"/>
              </w:rPr>
              <w:t>（</w:t>
            </w:r>
            <w:r>
              <w:rPr>
                <w:rFonts w:hint="eastAsia" w:ascii="Times New Roman" w:hAnsi="Times New Roman" w:eastAsia="黑体"/>
                <w:color w:val="000000"/>
                <w:spacing w:val="-4"/>
                <w:kern w:val="0"/>
                <w:sz w:val="24"/>
                <w:szCs w:val="22"/>
                <w:lang w:val="en-US" w:eastAsia="zh-CN"/>
              </w:rPr>
              <w:t>包含数字及文字描述</w:t>
            </w:r>
            <w:r>
              <w:rPr>
                <w:rFonts w:hint="eastAsia" w:ascii="Times New Roman" w:hAnsi="Times New Roman" w:eastAsia="黑体"/>
                <w:color w:val="000000"/>
                <w:spacing w:val="-4"/>
                <w:kern w:val="0"/>
                <w:sz w:val="24"/>
                <w:szCs w:val="22"/>
                <w:lang w:eastAsia="zh-CN"/>
              </w:rPr>
              <w:t>）</w:t>
            </w:r>
          </w:p>
        </w:tc>
        <w:tc>
          <w:tcPr>
            <w:tcW w:w="15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center"/>
              <w:textAlignment w:val="center"/>
              <w:rPr>
                <w:rFonts w:hint="default" w:ascii="Times New Roman" w:hAnsi="Times New Roman" w:eastAsia="黑体"/>
                <w:color w:val="000000"/>
                <w:spacing w:val="-4"/>
                <w:kern w:val="0"/>
                <w:sz w:val="24"/>
                <w:szCs w:val="22"/>
                <w:lang w:val="en-US" w:eastAsia="zh-CN"/>
              </w:rPr>
            </w:pPr>
            <w:r>
              <w:rPr>
                <w:rFonts w:hint="eastAsia" w:ascii="Times New Roman" w:hAnsi="Times New Roman" w:eastAsia="黑体"/>
                <w:color w:val="000000"/>
                <w:spacing w:val="-4"/>
                <w:kern w:val="0"/>
                <w:sz w:val="24"/>
                <w:szCs w:val="22"/>
                <w:lang w:val="en-US" w:eastAsia="zh-CN"/>
              </w:rPr>
              <w:t>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95" w:hRule="atLeast"/>
          <w:tblHeader/>
          <w:jc w:val="center"/>
        </w:trPr>
        <w:tc>
          <w:tcPr>
            <w:tcW w:w="585" w:type="dxa"/>
            <w:vMerge w:val="continue"/>
            <w:tcBorders>
              <w:top w:val="single" w:color="000000" w:sz="4" w:space="0"/>
              <w:left w:val="single" w:color="000000" w:sz="4" w:space="0"/>
              <w:bottom w:val="single" w:color="000000"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both"/>
              <w:rPr>
                <w:rFonts w:hint="eastAsia" w:ascii="Times New Roman" w:hAnsi="Times New Roman" w:eastAsia="仿宋_GB2312"/>
                <w:color w:val="000000"/>
                <w:spacing w:val="-4"/>
                <w:sz w:val="24"/>
                <w:szCs w:val="22"/>
              </w:rPr>
            </w:pPr>
          </w:p>
        </w:tc>
        <w:tc>
          <w:tcPr>
            <w:tcW w:w="1107" w:type="dxa"/>
            <w:vMerge w:val="restart"/>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lang w:eastAsia="zh-CN"/>
              </w:rPr>
            </w:pPr>
            <w:r>
              <w:rPr>
                <w:rFonts w:hint="eastAsia" w:ascii="Times New Roman" w:hAnsi="Times New Roman" w:eastAsia="仿宋_GB2312"/>
                <w:color w:val="000000"/>
                <w:spacing w:val="-4"/>
                <w:kern w:val="0"/>
                <w:sz w:val="24"/>
                <w:szCs w:val="22"/>
              </w:rPr>
              <w:t>项目</w:t>
            </w:r>
            <w:r>
              <w:rPr>
                <w:rFonts w:hint="eastAsia" w:ascii="Times New Roman" w:hAnsi="Times New Roman" w:eastAsia="仿宋_GB2312"/>
                <w:color w:val="000000"/>
                <w:spacing w:val="-4"/>
                <w:kern w:val="0"/>
                <w:sz w:val="24"/>
                <w:szCs w:val="22"/>
                <w:lang w:eastAsia="zh-CN"/>
              </w:rPr>
              <w:t>产出</w:t>
            </w:r>
          </w:p>
        </w:tc>
        <w:tc>
          <w:tcPr>
            <w:tcW w:w="1020" w:type="dxa"/>
            <w:vMerge w:val="restart"/>
            <w:tcBorders>
              <w:top w:val="single" w:color="auto" w:sz="4" w:space="0"/>
              <w:left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rPr>
            </w:pPr>
            <w:r>
              <w:rPr>
                <w:rFonts w:hint="eastAsia" w:ascii="Times New Roman" w:hAnsi="Times New Roman" w:eastAsia="仿宋_GB2312"/>
                <w:color w:val="000000"/>
                <w:spacing w:val="-4"/>
                <w:kern w:val="0"/>
                <w:sz w:val="24"/>
                <w:szCs w:val="22"/>
              </w:rPr>
              <w:t>数量指标</w:t>
            </w:r>
          </w:p>
        </w:tc>
        <w:tc>
          <w:tcPr>
            <w:tcW w:w="3061"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rPr>
            </w:pPr>
            <w:r>
              <w:rPr>
                <w:rFonts w:hint="eastAsia" w:ascii="Times New Roman" w:hAnsi="Times New Roman" w:eastAsia="仿宋_GB2312"/>
                <w:color w:val="000000"/>
                <w:spacing w:val="-4"/>
                <w:kern w:val="0"/>
                <w:sz w:val="24"/>
                <w:szCs w:val="22"/>
                <w:lang w:val="en-US" w:eastAsia="zh-CN"/>
              </w:rPr>
              <w:t>电子商务普及及应用培训数量</w:t>
            </w:r>
          </w:p>
        </w:tc>
        <w:tc>
          <w:tcPr>
            <w:tcW w:w="2098" w:type="dxa"/>
            <w:tcBorders>
              <w:top w:val="single" w:color="000000" w:sz="4" w:space="0"/>
              <w:left w:val="single" w:color="auto"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default" w:ascii="Times New Roman" w:hAnsi="Times New Roman" w:eastAsia="仿宋_GB2312"/>
                <w:color w:val="000000"/>
                <w:spacing w:val="-4"/>
                <w:kern w:val="0"/>
                <w:sz w:val="24"/>
                <w:szCs w:val="22"/>
                <w:lang w:val="en-US" w:eastAsia="zh-CN"/>
              </w:rPr>
            </w:pPr>
            <w:r>
              <w:rPr>
                <w:rFonts w:hint="default" w:ascii="Times New Roman" w:hAnsi="Times New Roman" w:eastAsia="仿宋_GB2312"/>
                <w:color w:val="000000"/>
                <w:spacing w:val="-4"/>
                <w:kern w:val="0"/>
                <w:sz w:val="24"/>
                <w:szCs w:val="22"/>
                <w:lang w:val="en-US" w:eastAsia="zh-CN"/>
              </w:rPr>
              <w:t>≥</w:t>
            </w:r>
            <w:r>
              <w:rPr>
                <w:rFonts w:hint="eastAsia" w:ascii="Times New Roman" w:hAnsi="Times New Roman" w:eastAsia="仿宋_GB2312"/>
                <w:color w:val="000000"/>
                <w:spacing w:val="-4"/>
                <w:kern w:val="0"/>
                <w:sz w:val="24"/>
                <w:szCs w:val="22"/>
                <w:lang w:val="en-US" w:eastAsia="zh-CN"/>
              </w:rPr>
              <w:t>1次</w:t>
            </w:r>
          </w:p>
        </w:tc>
        <w:tc>
          <w:tcPr>
            <w:tcW w:w="15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default"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完成3次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blHeader/>
          <w:jc w:val="center"/>
        </w:trPr>
        <w:tc>
          <w:tcPr>
            <w:tcW w:w="585" w:type="dxa"/>
            <w:vMerge w:val="continue"/>
            <w:tcBorders>
              <w:top w:val="single" w:color="000000" w:sz="4" w:space="0"/>
              <w:left w:val="single" w:color="000000" w:sz="4" w:space="0"/>
              <w:bottom w:val="single" w:color="000000"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both"/>
              <w:rPr>
                <w:rFonts w:hint="eastAsia" w:ascii="Times New Roman" w:hAnsi="Times New Roman" w:eastAsia="仿宋_GB2312"/>
                <w:color w:val="000000"/>
                <w:spacing w:val="-4"/>
                <w:sz w:val="24"/>
                <w:szCs w:val="22"/>
              </w:rPr>
            </w:pPr>
          </w:p>
        </w:tc>
        <w:tc>
          <w:tcPr>
            <w:tcW w:w="1107" w:type="dxa"/>
            <w:vMerge w:val="continue"/>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rPr>
            </w:pPr>
          </w:p>
        </w:tc>
        <w:tc>
          <w:tcPr>
            <w:tcW w:w="1020" w:type="dxa"/>
            <w:vMerge w:val="continue"/>
            <w:tcBorders>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rPr>
            </w:pPr>
          </w:p>
        </w:tc>
        <w:tc>
          <w:tcPr>
            <w:tcW w:w="3061"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0" w:lineRule="atLeas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电子商务发展促进展示展销活动数量</w:t>
            </w:r>
          </w:p>
        </w:tc>
        <w:tc>
          <w:tcPr>
            <w:tcW w:w="2098" w:type="dxa"/>
            <w:tcBorders>
              <w:top w:val="single" w:color="000000" w:sz="4" w:space="0"/>
              <w:left w:val="single" w:color="auto"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default" w:ascii="Times New Roman" w:hAnsi="Times New Roman" w:eastAsia="仿宋_GB2312"/>
                <w:color w:val="000000"/>
                <w:spacing w:val="-4"/>
                <w:kern w:val="0"/>
                <w:sz w:val="24"/>
                <w:szCs w:val="22"/>
                <w:lang w:val="en-US" w:eastAsia="zh-CN"/>
              </w:rPr>
            </w:pPr>
            <w:r>
              <w:rPr>
                <w:rFonts w:hint="default" w:ascii="Times New Roman" w:hAnsi="Times New Roman" w:eastAsia="仿宋_GB2312"/>
                <w:color w:val="000000"/>
                <w:spacing w:val="-4"/>
                <w:kern w:val="0"/>
                <w:sz w:val="24"/>
                <w:szCs w:val="22"/>
                <w:lang w:val="en-US" w:eastAsia="zh-CN"/>
              </w:rPr>
              <w:t>≥</w:t>
            </w:r>
            <w:r>
              <w:rPr>
                <w:rFonts w:hint="eastAsia" w:ascii="Times New Roman" w:hAnsi="Times New Roman" w:eastAsia="仿宋_GB2312"/>
                <w:color w:val="000000"/>
                <w:spacing w:val="-4"/>
                <w:kern w:val="0"/>
                <w:sz w:val="24"/>
                <w:szCs w:val="22"/>
                <w:lang w:val="en-US" w:eastAsia="zh-CN"/>
              </w:rPr>
              <w:t>2次</w:t>
            </w:r>
          </w:p>
        </w:tc>
        <w:tc>
          <w:tcPr>
            <w:tcW w:w="15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default"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完成5次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blHeader/>
          <w:jc w:val="center"/>
        </w:trPr>
        <w:tc>
          <w:tcPr>
            <w:tcW w:w="585" w:type="dxa"/>
            <w:vMerge w:val="continue"/>
            <w:tcBorders>
              <w:top w:val="single" w:color="000000" w:sz="4" w:space="0"/>
              <w:left w:val="single" w:color="000000" w:sz="4" w:space="0"/>
              <w:bottom w:val="single" w:color="000000"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both"/>
              <w:rPr>
                <w:rFonts w:hint="eastAsia" w:ascii="Times New Roman" w:hAnsi="Times New Roman" w:eastAsia="仿宋_GB2312"/>
                <w:color w:val="000000"/>
                <w:spacing w:val="-4"/>
                <w:sz w:val="24"/>
                <w:szCs w:val="22"/>
              </w:rPr>
            </w:pPr>
          </w:p>
        </w:tc>
        <w:tc>
          <w:tcPr>
            <w:tcW w:w="1107" w:type="dxa"/>
            <w:vMerge w:val="continue"/>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rPr>
            </w:pPr>
          </w:p>
        </w:tc>
        <w:tc>
          <w:tcPr>
            <w:tcW w:w="1020" w:type="dxa"/>
            <w:vMerge w:val="restart"/>
            <w:tcBorders>
              <w:top w:val="single" w:color="auto" w:sz="4" w:space="0"/>
              <w:left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lang w:eastAsia="zh-CN"/>
              </w:rPr>
            </w:pPr>
            <w:r>
              <w:rPr>
                <w:rFonts w:hint="eastAsia" w:ascii="Times New Roman" w:hAnsi="Times New Roman" w:eastAsia="仿宋_GB2312"/>
                <w:color w:val="000000"/>
                <w:spacing w:val="-4"/>
                <w:kern w:val="0"/>
                <w:sz w:val="24"/>
                <w:szCs w:val="22"/>
                <w:lang w:eastAsia="zh-CN"/>
              </w:rPr>
              <w:t>质量指标</w:t>
            </w:r>
          </w:p>
        </w:tc>
        <w:tc>
          <w:tcPr>
            <w:tcW w:w="3061"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0" w:lineRule="atLeas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电子商务普及及应用培训准确率</w:t>
            </w:r>
          </w:p>
        </w:tc>
        <w:tc>
          <w:tcPr>
            <w:tcW w:w="2098" w:type="dxa"/>
            <w:tcBorders>
              <w:top w:val="single" w:color="000000" w:sz="4" w:space="0"/>
              <w:left w:val="single" w:color="auto"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default"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=100%</w:t>
            </w:r>
          </w:p>
        </w:tc>
        <w:tc>
          <w:tcPr>
            <w:tcW w:w="15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blHeader/>
          <w:jc w:val="center"/>
        </w:trPr>
        <w:tc>
          <w:tcPr>
            <w:tcW w:w="585" w:type="dxa"/>
            <w:vMerge w:val="continue"/>
            <w:tcBorders>
              <w:top w:val="single" w:color="000000" w:sz="4" w:space="0"/>
              <w:left w:val="single" w:color="000000" w:sz="4" w:space="0"/>
              <w:bottom w:val="single" w:color="000000"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both"/>
              <w:rPr>
                <w:rFonts w:hint="eastAsia" w:ascii="Times New Roman" w:hAnsi="Times New Roman" w:eastAsia="仿宋_GB2312"/>
                <w:color w:val="000000"/>
                <w:spacing w:val="-4"/>
                <w:sz w:val="24"/>
                <w:szCs w:val="22"/>
              </w:rPr>
            </w:pPr>
          </w:p>
        </w:tc>
        <w:tc>
          <w:tcPr>
            <w:tcW w:w="1107" w:type="dxa"/>
            <w:vMerge w:val="continue"/>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rPr>
            </w:pPr>
          </w:p>
        </w:tc>
        <w:tc>
          <w:tcPr>
            <w:tcW w:w="1020" w:type="dxa"/>
            <w:vMerge w:val="continue"/>
            <w:tcBorders>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rPr>
            </w:pPr>
          </w:p>
        </w:tc>
        <w:tc>
          <w:tcPr>
            <w:tcW w:w="3061"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0" w:lineRule="atLeas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电子商务发展促进展示展销活动准确率</w:t>
            </w:r>
          </w:p>
        </w:tc>
        <w:tc>
          <w:tcPr>
            <w:tcW w:w="2098" w:type="dxa"/>
            <w:tcBorders>
              <w:top w:val="single" w:color="000000" w:sz="4" w:space="0"/>
              <w:left w:val="single" w:color="auto"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=100%</w:t>
            </w:r>
          </w:p>
        </w:tc>
        <w:tc>
          <w:tcPr>
            <w:tcW w:w="15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blHeader/>
          <w:jc w:val="center"/>
        </w:trPr>
        <w:tc>
          <w:tcPr>
            <w:tcW w:w="585" w:type="dxa"/>
            <w:vMerge w:val="continue"/>
            <w:tcBorders>
              <w:top w:val="single" w:color="000000" w:sz="4" w:space="0"/>
              <w:left w:val="single" w:color="000000" w:sz="4" w:space="0"/>
              <w:bottom w:val="single" w:color="000000"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both"/>
              <w:rPr>
                <w:rFonts w:hint="eastAsia" w:ascii="Times New Roman" w:hAnsi="Times New Roman" w:eastAsia="仿宋_GB2312"/>
                <w:color w:val="000000"/>
                <w:spacing w:val="-4"/>
                <w:sz w:val="24"/>
                <w:szCs w:val="22"/>
              </w:rPr>
            </w:pPr>
          </w:p>
        </w:tc>
        <w:tc>
          <w:tcPr>
            <w:tcW w:w="1107" w:type="dxa"/>
            <w:vMerge w:val="continue"/>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rPr>
            </w:pPr>
          </w:p>
        </w:tc>
        <w:tc>
          <w:tcPr>
            <w:tcW w:w="1020" w:type="dxa"/>
            <w:vMerge w:val="restart"/>
            <w:tcBorders>
              <w:top w:val="single" w:color="auto" w:sz="4" w:space="0"/>
              <w:left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rPr>
              <w:t>时效指标</w:t>
            </w:r>
          </w:p>
        </w:tc>
        <w:tc>
          <w:tcPr>
            <w:tcW w:w="3061"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0" w:lineRule="atLeas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电子商务普及及应用培训及时率</w:t>
            </w:r>
          </w:p>
        </w:tc>
        <w:tc>
          <w:tcPr>
            <w:tcW w:w="2098" w:type="dxa"/>
            <w:tcBorders>
              <w:top w:val="single" w:color="000000" w:sz="4" w:space="0"/>
              <w:left w:val="single" w:color="auto"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=100%</w:t>
            </w:r>
          </w:p>
        </w:tc>
        <w:tc>
          <w:tcPr>
            <w:tcW w:w="15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blHeader/>
          <w:jc w:val="center"/>
        </w:trPr>
        <w:tc>
          <w:tcPr>
            <w:tcW w:w="585" w:type="dxa"/>
            <w:vMerge w:val="continue"/>
            <w:tcBorders>
              <w:top w:val="single" w:color="000000" w:sz="4" w:space="0"/>
              <w:left w:val="single" w:color="000000" w:sz="4" w:space="0"/>
              <w:bottom w:val="single" w:color="000000"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both"/>
              <w:rPr>
                <w:rFonts w:hint="eastAsia" w:ascii="Times New Roman" w:hAnsi="Times New Roman" w:eastAsia="仿宋_GB2312"/>
                <w:color w:val="000000"/>
                <w:spacing w:val="-4"/>
                <w:sz w:val="24"/>
                <w:szCs w:val="22"/>
              </w:rPr>
            </w:pPr>
          </w:p>
        </w:tc>
        <w:tc>
          <w:tcPr>
            <w:tcW w:w="1107" w:type="dxa"/>
            <w:vMerge w:val="continue"/>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rPr>
            </w:pPr>
          </w:p>
        </w:tc>
        <w:tc>
          <w:tcPr>
            <w:tcW w:w="1020" w:type="dxa"/>
            <w:vMerge w:val="continue"/>
            <w:tcBorders>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rPr>
            </w:pPr>
          </w:p>
        </w:tc>
        <w:tc>
          <w:tcPr>
            <w:tcW w:w="3061"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0" w:lineRule="atLeas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电子商务发展促进展示展销活动及时率</w:t>
            </w:r>
          </w:p>
        </w:tc>
        <w:tc>
          <w:tcPr>
            <w:tcW w:w="2098" w:type="dxa"/>
            <w:tcBorders>
              <w:top w:val="single" w:color="000000" w:sz="4" w:space="0"/>
              <w:left w:val="single" w:color="auto"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=100%</w:t>
            </w:r>
          </w:p>
        </w:tc>
        <w:tc>
          <w:tcPr>
            <w:tcW w:w="15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05" w:hRule="atLeast"/>
          <w:tblHeader/>
          <w:jc w:val="center"/>
        </w:trPr>
        <w:tc>
          <w:tcPr>
            <w:tcW w:w="585" w:type="dxa"/>
            <w:vMerge w:val="continue"/>
            <w:tcBorders>
              <w:top w:val="single" w:color="000000" w:sz="4" w:space="0"/>
              <w:left w:val="single" w:color="000000" w:sz="4" w:space="0"/>
              <w:bottom w:val="single" w:color="000000"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jc w:val="both"/>
              <w:rPr>
                <w:rFonts w:hint="eastAsia" w:ascii="Times New Roman" w:hAnsi="Times New Roman" w:eastAsia="仿宋_GB2312"/>
                <w:color w:val="000000"/>
                <w:spacing w:val="-4"/>
                <w:sz w:val="24"/>
                <w:szCs w:val="22"/>
              </w:rPr>
            </w:pPr>
          </w:p>
        </w:tc>
        <w:tc>
          <w:tcPr>
            <w:tcW w:w="1107" w:type="dxa"/>
            <w:vMerge w:val="continue"/>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rPr>
            </w:pPr>
          </w:p>
        </w:tc>
        <w:tc>
          <w:tcPr>
            <w:tcW w:w="1020"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rPr>
              <w:t>成本指标</w:t>
            </w:r>
          </w:p>
        </w:tc>
        <w:tc>
          <w:tcPr>
            <w:tcW w:w="3061"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0" w:lineRule="atLeast"/>
              <w:ind w:left="0" w:leftChars="0" w:right="0" w:rightChars="0"/>
              <w:jc w:val="both"/>
              <w:textAlignment w:val="center"/>
              <w:rPr>
                <w:rFonts w:hint="eastAsia"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电子商务发展促进资金成本控制数</w:t>
            </w:r>
          </w:p>
        </w:tc>
        <w:tc>
          <w:tcPr>
            <w:tcW w:w="2098" w:type="dxa"/>
            <w:tcBorders>
              <w:top w:val="single" w:color="000000" w:sz="4" w:space="0"/>
              <w:left w:val="single" w:color="auto"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0" w:lineRule="atLeast"/>
              <w:ind w:left="0" w:leftChars="0" w:right="0" w:rightChars="0"/>
              <w:jc w:val="both"/>
              <w:textAlignment w:val="center"/>
              <w:rPr>
                <w:rFonts w:hint="default" w:ascii="Times New Roman" w:hAnsi="Times New Roman" w:eastAsia="仿宋_GB2312"/>
                <w:color w:val="000000"/>
                <w:spacing w:val="-4"/>
                <w:kern w:val="0"/>
                <w:sz w:val="24"/>
                <w:szCs w:val="22"/>
                <w:lang w:val="en-US" w:eastAsia="zh-CN"/>
              </w:rPr>
            </w:pPr>
            <w:r>
              <w:rPr>
                <w:rFonts w:hint="default" w:ascii="Times New Roman" w:hAnsi="Times New Roman" w:eastAsia="仿宋_GB2312"/>
                <w:color w:val="000000"/>
                <w:spacing w:val="-4"/>
                <w:kern w:val="0"/>
                <w:sz w:val="24"/>
                <w:szCs w:val="22"/>
                <w:lang w:val="en-US" w:eastAsia="zh-CN"/>
              </w:rPr>
              <w:t>≤</w:t>
            </w:r>
            <w:r>
              <w:rPr>
                <w:rFonts w:hint="eastAsia" w:ascii="Times New Roman" w:hAnsi="Times New Roman" w:eastAsia="仿宋_GB2312"/>
                <w:color w:val="000000"/>
                <w:spacing w:val="-4"/>
                <w:kern w:val="0"/>
                <w:sz w:val="24"/>
                <w:szCs w:val="22"/>
                <w:lang w:val="en-US" w:eastAsia="zh-CN"/>
              </w:rPr>
              <w:t>10.5万元</w:t>
            </w:r>
          </w:p>
        </w:tc>
        <w:tc>
          <w:tcPr>
            <w:tcW w:w="15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leftChars="0" w:right="0" w:rightChars="0"/>
              <w:jc w:val="both"/>
              <w:textAlignment w:val="center"/>
              <w:rPr>
                <w:rFonts w:hint="default" w:ascii="Times New Roman" w:hAnsi="Times New Roman" w:eastAsia="仿宋_GB2312"/>
                <w:color w:val="000000"/>
                <w:spacing w:val="-4"/>
                <w:kern w:val="0"/>
                <w:sz w:val="24"/>
                <w:szCs w:val="22"/>
                <w:lang w:val="en-US" w:eastAsia="zh-CN"/>
              </w:rPr>
            </w:pPr>
            <w:r>
              <w:rPr>
                <w:rFonts w:hint="eastAsia" w:ascii="Times New Roman" w:hAnsi="Times New Roman" w:eastAsia="仿宋_GB2312"/>
                <w:color w:val="000000"/>
                <w:spacing w:val="-4"/>
                <w:kern w:val="0"/>
                <w:sz w:val="24"/>
                <w:szCs w:val="22"/>
                <w:lang w:val="en-US" w:eastAsia="zh-CN"/>
              </w:rPr>
              <w:t>完成10.5万元</w:t>
            </w:r>
          </w:p>
        </w:tc>
      </w:tr>
    </w:tbl>
    <w:p>
      <w:pPr>
        <w:keepNext w:val="0"/>
        <w:keepLines w:val="0"/>
        <w:pageBreakBefore w:val="0"/>
        <w:widowControl w:val="0"/>
        <w:kinsoku/>
        <w:wordWrap/>
        <w:overflowPunct/>
        <w:topLinePunct w:val="0"/>
        <w:autoSpaceDE/>
        <w:autoSpaceDN/>
        <w:bidi w:val="0"/>
        <w:adjustRightInd/>
        <w:snapToGrid w:val="0"/>
        <w:spacing w:line="590" w:lineRule="exact"/>
        <w:ind w:firstLine="627" w:firstLineChars="200"/>
        <w:textAlignment w:val="auto"/>
        <w:outlineLvl w:val="9"/>
        <w:rPr>
          <w:rFonts w:hint="eastAsia" w:ascii="Times New Roman" w:hAnsi="Times New Roman" w:cs="仿宋_GB2312"/>
          <w:b w:val="0"/>
          <w:bCs w:val="0"/>
          <w:spacing w:val="-4"/>
          <w:sz w:val="32"/>
          <w:szCs w:val="32"/>
          <w:lang w:val="en-US" w:eastAsia="zh-CN"/>
        </w:rPr>
      </w:pPr>
      <w:r>
        <w:rPr>
          <w:rFonts w:hint="eastAsia" w:ascii="Times New Roman" w:hAnsi="Times New Roman" w:eastAsia="楷体_GB2312" w:cs="Times New Roman"/>
          <w:b/>
          <w:spacing w:val="-4"/>
          <w:sz w:val="32"/>
          <w:szCs w:val="32"/>
          <w:lang w:val="en-US" w:eastAsia="zh-CN"/>
        </w:rPr>
        <w:t>（四）项目效益情况。</w:t>
      </w:r>
      <w:r>
        <w:rPr>
          <w:rFonts w:hint="eastAsia" w:ascii="Times New Roman" w:hAnsi="Times New Roman" w:eastAsia="仿宋_GB2312" w:cs="仿宋_GB2312"/>
          <w:spacing w:val="-4"/>
          <w:sz w:val="32"/>
          <w:szCs w:val="32"/>
          <w:lang w:val="en-US" w:eastAsia="zh-CN"/>
        </w:rPr>
        <w:t>打造了土门垭村电商直播间，</w:t>
      </w:r>
      <w:r>
        <w:rPr>
          <w:rFonts w:hint="default" w:ascii="Times New Roman" w:hAnsi="Times New Roman" w:eastAsia="仿宋_GB2312" w:cs="仿宋_GB2312"/>
          <w:spacing w:val="-4"/>
          <w:sz w:val="32"/>
          <w:szCs w:val="32"/>
          <w:lang w:val="en-US" w:eastAsia="zh-CN"/>
        </w:rPr>
        <w:t>入网销售的</w:t>
      </w:r>
      <w:r>
        <w:rPr>
          <w:rFonts w:hint="eastAsia" w:ascii="Times New Roman" w:hAnsi="Times New Roman" w:eastAsia="仿宋_GB2312" w:cs="仿宋_GB2312"/>
          <w:spacing w:val="-4"/>
          <w:sz w:val="32"/>
          <w:szCs w:val="32"/>
          <w:lang w:val="en-US" w:eastAsia="zh-CN"/>
        </w:rPr>
        <w:t>产</w:t>
      </w:r>
      <w:r>
        <w:rPr>
          <w:rFonts w:hint="default" w:ascii="Times New Roman" w:hAnsi="Times New Roman" w:eastAsia="仿宋_GB2312" w:cs="仿宋_GB2312"/>
          <w:spacing w:val="-4"/>
          <w:sz w:val="32"/>
          <w:szCs w:val="32"/>
          <w:lang w:val="en-US" w:eastAsia="zh-CN"/>
        </w:rPr>
        <w:t>品种类</w:t>
      </w:r>
      <w:r>
        <w:rPr>
          <w:rFonts w:hint="eastAsia" w:ascii="Times New Roman" w:hAnsi="Times New Roman" w:eastAsia="仿宋_GB2312" w:cs="仿宋_GB2312"/>
          <w:spacing w:val="-4"/>
          <w:sz w:val="32"/>
          <w:szCs w:val="32"/>
          <w:lang w:val="en-US" w:eastAsia="zh-CN"/>
        </w:rPr>
        <w:t>达</w:t>
      </w:r>
      <w:r>
        <w:rPr>
          <w:rFonts w:hint="default" w:ascii="Times New Roman" w:hAnsi="Times New Roman" w:eastAsia="仿宋_GB2312" w:cs="仿宋_GB2312"/>
          <w:spacing w:val="-4"/>
          <w:sz w:val="32"/>
          <w:szCs w:val="32"/>
          <w:lang w:val="en-US" w:eastAsia="zh-CN"/>
        </w:rPr>
        <w:t>140余个</w:t>
      </w:r>
      <w:r>
        <w:rPr>
          <w:rFonts w:hint="eastAsia" w:ascii="Times New Roman" w:hAnsi="Times New Roman" w:eastAsia="仿宋_GB2312" w:cs="仿宋_GB2312"/>
          <w:spacing w:val="-4"/>
          <w:sz w:val="32"/>
          <w:szCs w:val="32"/>
          <w:lang w:val="en-US" w:eastAsia="zh-CN"/>
        </w:rPr>
        <w:t>，电商技能培训160余人次。2023年电子商务交易额实现18.74亿元，网络零售额实现6.64亿元。</w:t>
      </w:r>
    </w:p>
    <w:p>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590" w:lineRule="exact"/>
        <w:ind w:left="0" w:right="0" w:firstLine="624" w:firstLineChars="200"/>
        <w:jc w:val="both"/>
        <w:rPr>
          <w:rFonts w:hint="eastAsia" w:ascii="Times New Roman" w:hAnsi="Times New Roman" w:eastAsia="黑体"/>
          <w:spacing w:val="-4"/>
          <w:sz w:val="32"/>
          <w:szCs w:val="32"/>
        </w:rPr>
      </w:pPr>
      <w:r>
        <w:rPr>
          <w:rFonts w:hint="eastAsia" w:ascii="Times New Roman" w:hAnsi="Times New Roman" w:eastAsia="黑体"/>
          <w:spacing w:val="-4"/>
          <w:sz w:val="32"/>
          <w:szCs w:val="32"/>
        </w:rPr>
        <w:t>五、存在主要问题</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firstLine="627" w:firstLineChars="200"/>
        <w:textAlignment w:val="auto"/>
        <w:outlineLvl w:val="9"/>
        <w:rPr>
          <w:rFonts w:hint="eastAsia" w:ascii="Times New Roman" w:hAnsi="Times New Roman" w:eastAsia="黑体"/>
          <w:spacing w:val="-4"/>
          <w:sz w:val="32"/>
          <w:szCs w:val="32"/>
          <w:lang w:eastAsia="zh-CN"/>
        </w:rPr>
      </w:pPr>
      <w:r>
        <w:rPr>
          <w:rFonts w:hint="eastAsia" w:ascii="Times New Roman" w:hAnsi="Times New Roman" w:eastAsia="仿宋_GB2312" w:cs="仿宋_GB2312"/>
          <w:b/>
          <w:bCs/>
          <w:spacing w:val="-4"/>
          <w:sz w:val="32"/>
          <w:szCs w:val="32"/>
          <w:lang w:val="en-US" w:eastAsia="zh-CN"/>
        </w:rPr>
        <w:t>一是专业人才匮乏。</w:t>
      </w:r>
      <w:r>
        <w:rPr>
          <w:rFonts w:hint="eastAsia" w:ascii="Times New Roman" w:hAnsi="Times New Roman" w:eastAsia="仿宋_GB2312" w:cs="仿宋_GB2312"/>
          <w:spacing w:val="-4"/>
          <w:sz w:val="32"/>
          <w:szCs w:val="32"/>
          <w:lang w:val="en-US" w:eastAsia="zh-CN"/>
        </w:rPr>
        <w:t>缺乏摄影师、编剧、规划、管理等专业技术性人才，在发展环境、工资待遇等方面满足不了专业人才的需求，导致电商人才引进难、留下难。</w:t>
      </w:r>
      <w:r>
        <w:rPr>
          <w:rFonts w:hint="eastAsia" w:ascii="Times New Roman" w:hAnsi="Times New Roman" w:eastAsia="仿宋_GB2312" w:cs="仿宋_GB2312"/>
          <w:b/>
          <w:bCs/>
          <w:spacing w:val="-4"/>
          <w:sz w:val="32"/>
          <w:szCs w:val="32"/>
          <w:lang w:val="en-US" w:eastAsia="zh-CN"/>
        </w:rPr>
        <w:t>二是企业规模小。</w:t>
      </w:r>
      <w:r>
        <w:rPr>
          <w:rFonts w:hint="eastAsia" w:ascii="Times New Roman" w:hAnsi="Times New Roman" w:eastAsia="仿宋_GB2312" w:cs="仿宋_GB2312"/>
          <w:spacing w:val="-4"/>
          <w:sz w:val="32"/>
          <w:szCs w:val="32"/>
          <w:lang w:val="en-US" w:eastAsia="zh-CN"/>
        </w:rPr>
        <w:t>目前我县电商企业整体规模都很小，没有具有较大影响力的电子商务龙头企业为全县电子商务的发展服务。</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firstLine="624" w:firstLineChars="200"/>
        <w:textAlignment w:val="auto"/>
        <w:outlineLvl w:val="9"/>
        <w:rPr>
          <w:rFonts w:hint="eastAsia" w:ascii="Times New Roman" w:hAnsi="Times New Roman" w:eastAsia="黑体"/>
          <w:spacing w:val="-4"/>
          <w:sz w:val="32"/>
          <w:szCs w:val="32"/>
        </w:rPr>
      </w:pPr>
      <w:r>
        <w:rPr>
          <w:rFonts w:hint="eastAsia" w:ascii="Times New Roman" w:hAnsi="Times New Roman" w:eastAsia="黑体"/>
          <w:spacing w:val="-4"/>
          <w:sz w:val="32"/>
          <w:szCs w:val="32"/>
          <w:lang w:eastAsia="zh-CN"/>
        </w:rPr>
        <w:t>六、</w:t>
      </w:r>
      <w:r>
        <w:rPr>
          <w:rFonts w:hint="eastAsia" w:ascii="Times New Roman" w:hAnsi="Times New Roman" w:eastAsia="黑体"/>
          <w:spacing w:val="-4"/>
          <w:sz w:val="32"/>
          <w:szCs w:val="32"/>
        </w:rPr>
        <w:t>相关措施建议</w:t>
      </w:r>
    </w:p>
    <w:p>
      <w:pPr>
        <w:keepNext w:val="0"/>
        <w:keepLines w:val="0"/>
        <w:pageBreakBefore w:val="0"/>
        <w:widowControl w:val="0"/>
        <w:kinsoku/>
        <w:wordWrap/>
        <w:overflowPunct/>
        <w:topLinePunct w:val="0"/>
        <w:autoSpaceDE/>
        <w:autoSpaceDN/>
        <w:bidi w:val="0"/>
        <w:adjustRightInd w:val="0"/>
        <w:snapToGrid w:val="0"/>
        <w:spacing w:line="590" w:lineRule="exact"/>
        <w:ind w:leftChars="0" w:firstLine="624" w:firstLineChars="200"/>
        <w:textAlignment w:val="auto"/>
        <w:rPr>
          <w:rFonts w:hint="eastAsia" w:ascii="Times New Roman" w:hAnsi="Times New Roman" w:eastAsia="仿宋_GB2312" w:cs="仿宋_GB2312"/>
          <w:b w:val="0"/>
          <w:bCs/>
          <w:color w:val="000000" w:themeColor="text1"/>
          <w:spacing w:val="-4"/>
          <w:sz w:val="32"/>
          <w:szCs w:val="32"/>
          <w14:textFill>
            <w14:solidFill>
              <w14:schemeClr w14:val="tx1"/>
            </w14:solidFill>
          </w14:textFill>
        </w:rPr>
      </w:pPr>
      <w:r>
        <w:rPr>
          <w:rFonts w:hint="eastAsia" w:ascii="Times New Roman" w:hAnsi="Times New Roman" w:eastAsia="仿宋_GB2312" w:cs="仿宋_GB2312"/>
          <w:b w:val="0"/>
          <w:bCs w:val="0"/>
          <w:spacing w:val="-4"/>
          <w:sz w:val="32"/>
          <w:szCs w:val="32"/>
        </w:rPr>
        <w:t>打造信息互通</w:t>
      </w:r>
      <w:r>
        <w:rPr>
          <w:rFonts w:hint="eastAsia" w:ascii="Times New Roman" w:hAnsi="Times New Roman" w:eastAsia="仿宋_GB2312" w:cs="仿宋_GB2312"/>
          <w:b w:val="0"/>
          <w:bCs w:val="0"/>
          <w:spacing w:val="-4"/>
          <w:sz w:val="32"/>
          <w:szCs w:val="32"/>
          <w:lang w:eastAsia="zh-CN"/>
        </w:rPr>
        <w:t>、</w:t>
      </w:r>
      <w:r>
        <w:rPr>
          <w:rFonts w:hint="eastAsia" w:ascii="Times New Roman" w:hAnsi="Times New Roman" w:eastAsia="仿宋_GB2312" w:cs="仿宋_GB2312"/>
          <w:b w:val="0"/>
          <w:bCs w:val="0"/>
          <w:spacing w:val="-4"/>
          <w:sz w:val="32"/>
          <w:szCs w:val="32"/>
        </w:rPr>
        <w:t>资源共享</w:t>
      </w:r>
      <w:r>
        <w:rPr>
          <w:rFonts w:hint="eastAsia" w:ascii="Times New Roman" w:hAnsi="Times New Roman" w:eastAsia="仿宋_GB2312" w:cs="仿宋_GB2312"/>
          <w:b w:val="0"/>
          <w:bCs w:val="0"/>
          <w:spacing w:val="-4"/>
          <w:sz w:val="32"/>
          <w:szCs w:val="32"/>
          <w:lang w:eastAsia="zh-CN"/>
        </w:rPr>
        <w:t>、</w:t>
      </w:r>
      <w:r>
        <w:rPr>
          <w:rFonts w:hint="eastAsia" w:ascii="Times New Roman" w:hAnsi="Times New Roman" w:eastAsia="仿宋_GB2312" w:cs="仿宋_GB2312"/>
          <w:b w:val="0"/>
          <w:bCs w:val="0"/>
          <w:spacing w:val="-4"/>
          <w:sz w:val="32"/>
          <w:szCs w:val="32"/>
        </w:rPr>
        <w:t>产业互动</w:t>
      </w:r>
      <w:r>
        <w:rPr>
          <w:rFonts w:hint="eastAsia" w:ascii="Times New Roman" w:hAnsi="Times New Roman" w:eastAsia="仿宋_GB2312" w:cs="仿宋_GB2312"/>
          <w:b w:val="0"/>
          <w:bCs w:val="0"/>
          <w:spacing w:val="-4"/>
          <w:sz w:val="32"/>
          <w:szCs w:val="32"/>
          <w:lang w:val="en-US" w:eastAsia="zh-CN"/>
        </w:rPr>
        <w:t>的格局，</w:t>
      </w:r>
      <w:r>
        <w:rPr>
          <w:rFonts w:hint="eastAsia" w:ascii="Times New Roman" w:hAnsi="Times New Roman" w:eastAsia="仿宋_GB2312" w:cs="仿宋_GB2312"/>
          <w:b w:val="0"/>
          <w:bCs w:val="0"/>
          <w:spacing w:val="-4"/>
          <w:sz w:val="32"/>
          <w:szCs w:val="32"/>
        </w:rPr>
        <w:t>培养电子商务专业人才，加大专业技能培训，扩大培训覆盖面，努力发掘培养新的电商人才。积极支持传统企业转型升级，加大对电子商务领域的拓展力度，加快电子商务向农村覆盖，助力乡村振兴。</w:t>
      </w:r>
    </w:p>
    <w:p>
      <w:pPr>
        <w:keepNext w:val="0"/>
        <w:keepLines w:val="0"/>
        <w:pageBreakBefore w:val="0"/>
        <w:kinsoku/>
        <w:overflowPunct/>
        <w:topLinePunct w:val="0"/>
        <w:autoSpaceDN/>
        <w:bidi w:val="0"/>
        <w:spacing w:line="590" w:lineRule="exact"/>
        <w:ind w:firstLine="1560" w:firstLineChars="5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kinsoku/>
        <w:overflowPunct/>
        <w:topLinePunct w:val="0"/>
        <w:autoSpaceDN/>
        <w:bidi w:val="0"/>
        <w:spacing w:line="590" w:lineRule="exact"/>
        <w:ind w:firstLine="1560" w:firstLineChars="5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kinsoku/>
        <w:overflowPunct/>
        <w:topLinePunct w:val="0"/>
        <w:autoSpaceDN/>
        <w:bidi w:val="0"/>
        <w:spacing w:line="590" w:lineRule="exact"/>
        <w:ind w:firstLine="1560" w:firstLineChars="5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widowControl/>
        <w:kinsoku/>
        <w:wordWrap w:val="0"/>
        <w:overflowPunct/>
        <w:topLinePunct w:val="0"/>
        <w:autoSpaceDE/>
        <w:autoSpaceDN/>
        <w:bidi w:val="0"/>
        <w:adjustRightInd w:val="0"/>
        <w:snapToGrid w:val="0"/>
        <w:spacing w:line="590" w:lineRule="exact"/>
        <w:ind w:right="0" w:rightChars="0"/>
        <w:jc w:val="right"/>
        <w:textAlignment w:val="auto"/>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大英县商务和经济合作局    </w:t>
      </w:r>
    </w:p>
    <w:p>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90" w:lineRule="exact"/>
        <w:ind w:right="0"/>
        <w:jc w:val="right"/>
        <w:rPr>
          <w:rFonts w:hint="default" w:ascii="Times New Roman" w:hAnsi="Times New Roman" w:cs="Times New Roman"/>
          <w:spacing w:val="-4"/>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20</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24</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年</w:t>
      </w:r>
      <w:r>
        <w:rPr>
          <w:rFonts w:hint="eastAsia" w:eastAsia="仿宋_GB2312" w:cs="Times New Roman"/>
          <w:color w:val="auto"/>
          <w:spacing w:val="-4"/>
          <w:sz w:val="32"/>
          <w:szCs w:val="32"/>
          <w:highlight w:val="none"/>
          <w:u w:val="none"/>
          <w:shd w:val="clear" w:color="auto" w:fill="auto"/>
          <w:lang w:val="en-US" w:eastAsia="zh-CN"/>
        </w:rPr>
        <w:t>5</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月</w:t>
      </w:r>
      <w:r>
        <w:rPr>
          <w:rFonts w:hint="eastAsia" w:eastAsia="仿宋_GB2312" w:cs="Times New Roman"/>
          <w:color w:val="auto"/>
          <w:spacing w:val="-4"/>
          <w:sz w:val="32"/>
          <w:szCs w:val="32"/>
          <w:highlight w:val="none"/>
          <w:u w:val="none"/>
          <w:shd w:val="clear" w:color="auto" w:fill="auto"/>
          <w:lang w:val="en-US" w:eastAsia="zh-CN"/>
        </w:rPr>
        <w:t>6</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日        </w:t>
      </w:r>
    </w:p>
    <w:sectPr>
      <w:footerReference r:id="rId3" w:type="default"/>
      <w:pgSz w:w="11906" w:h="16838"/>
      <w:pgMar w:top="1928" w:right="1474" w:bottom="1928" w:left="1587" w:header="851" w:footer="992" w:gutter="0"/>
      <w:pgNumType w:fmt="decimal" w:start="2"/>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ì.">
    <w:altName w:val="黑体"/>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FangSong_GB2312">
    <w:altName w:val="仿宋_GB2312"/>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-457200</wp:posOffset>
              </wp:positionV>
              <wp:extent cx="970915"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97091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keepNext w:val="0"/>
                            <w:keepLines w:val="0"/>
                            <w:pageBreakBefore w:val="0"/>
                            <w:widowControl/>
                            <w:kinsoku/>
                            <w:wordWrap/>
                            <w:overflowPunct/>
                            <w:topLinePunct w:val="0"/>
                            <w:bidi w:val="0"/>
                            <w:adjustRightInd/>
                            <w:snapToGrid w:val="0"/>
                            <w:spacing w:line="590" w:lineRule="exact"/>
                            <w:ind w:left="210" w:leftChars="100" w:right="210" w:rightChars="10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36pt;height:144pt;width:76.45pt;mso-position-horizontal:outside;mso-position-horizontal-relative:margin;z-index:251659264;mso-width-relative:page;mso-height-relative:page;" filled="f" stroked="f" coordsize="21600,21600" o:gfxdata="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JBOr9XXAAAACQEAAA8AAAAAAAAAAQAgAAAAIgAAAGRycy9kb3du&#10;cmV2LnhtbFBLAQIUABQAAAAIAIdO4kBzghu3OQIAAGIEAAAOAAAAAAAAAAEAIAAAACYBAABkcnMv&#10;ZTJvRG9jLnhtbFBLBQYAAAAABgAGAFkBAADRBQAAAAA=&#10;">
              <v:fill on="f" focussize="0,0"/>
              <v:stroke on="f" weight="0.5pt"/>
              <v:imagedata o:title=""/>
              <o:lock v:ext="edit" aspectratio="f"/>
              <v:textbox inset="0mm,0mm,0mm,0mm" style="mso-fit-shape-to-text:t;">
                <w:txbxContent>
                  <w:p>
                    <w:pPr>
                      <w:pStyle w:val="8"/>
                      <w:keepNext w:val="0"/>
                      <w:keepLines w:val="0"/>
                      <w:pageBreakBefore w:val="0"/>
                      <w:widowControl/>
                      <w:kinsoku/>
                      <w:wordWrap/>
                      <w:overflowPunct/>
                      <w:topLinePunct w:val="0"/>
                      <w:bidi w:val="0"/>
                      <w:adjustRightInd/>
                      <w:snapToGrid w:val="0"/>
                      <w:spacing w:line="590" w:lineRule="exact"/>
                      <w:ind w:left="210" w:leftChars="100" w:right="210" w:rightChars="10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jYmFlYzg3MjgwODU1OWNhYWQyNDBiOWEwZjUwZTgifQ=="/>
  </w:docVars>
  <w:rsids>
    <w:rsidRoot w:val="00000000"/>
    <w:rsid w:val="00AA3CEC"/>
    <w:rsid w:val="01145609"/>
    <w:rsid w:val="01193968"/>
    <w:rsid w:val="01DF6163"/>
    <w:rsid w:val="02A66735"/>
    <w:rsid w:val="031A67DB"/>
    <w:rsid w:val="04BC470B"/>
    <w:rsid w:val="04BD4777"/>
    <w:rsid w:val="051C166B"/>
    <w:rsid w:val="05485881"/>
    <w:rsid w:val="055E32F7"/>
    <w:rsid w:val="07D77390"/>
    <w:rsid w:val="096536DF"/>
    <w:rsid w:val="097B59CD"/>
    <w:rsid w:val="0ABD0AEE"/>
    <w:rsid w:val="0AE20526"/>
    <w:rsid w:val="0B974D33"/>
    <w:rsid w:val="0BCE2CA4"/>
    <w:rsid w:val="0DEC10D3"/>
    <w:rsid w:val="0E0D1416"/>
    <w:rsid w:val="0F15307B"/>
    <w:rsid w:val="100B7BD7"/>
    <w:rsid w:val="103F3D25"/>
    <w:rsid w:val="110F6424"/>
    <w:rsid w:val="11875DAA"/>
    <w:rsid w:val="11F8447C"/>
    <w:rsid w:val="12A8795F"/>
    <w:rsid w:val="12F504CF"/>
    <w:rsid w:val="15510782"/>
    <w:rsid w:val="15D82EC7"/>
    <w:rsid w:val="17143815"/>
    <w:rsid w:val="17471E3D"/>
    <w:rsid w:val="174A7237"/>
    <w:rsid w:val="19037FE5"/>
    <w:rsid w:val="19131119"/>
    <w:rsid w:val="193006AE"/>
    <w:rsid w:val="19616ABA"/>
    <w:rsid w:val="1AE33D18"/>
    <w:rsid w:val="1C4032FE"/>
    <w:rsid w:val="1D41732E"/>
    <w:rsid w:val="1D9E78F3"/>
    <w:rsid w:val="1EA21E17"/>
    <w:rsid w:val="1EC458CD"/>
    <w:rsid w:val="1EF06916"/>
    <w:rsid w:val="207B0778"/>
    <w:rsid w:val="207B3599"/>
    <w:rsid w:val="21EB1616"/>
    <w:rsid w:val="236A005D"/>
    <w:rsid w:val="24A361D8"/>
    <w:rsid w:val="252C0F6A"/>
    <w:rsid w:val="25BA1A2C"/>
    <w:rsid w:val="2672725A"/>
    <w:rsid w:val="26AD4B6D"/>
    <w:rsid w:val="27651E6B"/>
    <w:rsid w:val="29431E0C"/>
    <w:rsid w:val="2BBC53B4"/>
    <w:rsid w:val="2C5D5807"/>
    <w:rsid w:val="2D12214D"/>
    <w:rsid w:val="2D834DF9"/>
    <w:rsid w:val="2D9D235F"/>
    <w:rsid w:val="2E29215B"/>
    <w:rsid w:val="2E7208DD"/>
    <w:rsid w:val="2F320885"/>
    <w:rsid w:val="2FE30343"/>
    <w:rsid w:val="30C24D10"/>
    <w:rsid w:val="312E32CE"/>
    <w:rsid w:val="31BC65A2"/>
    <w:rsid w:val="320C5FEA"/>
    <w:rsid w:val="32211AEF"/>
    <w:rsid w:val="32CE6D0B"/>
    <w:rsid w:val="335F00B6"/>
    <w:rsid w:val="33EF143A"/>
    <w:rsid w:val="3464257F"/>
    <w:rsid w:val="347E456C"/>
    <w:rsid w:val="348257DA"/>
    <w:rsid w:val="348477E9"/>
    <w:rsid w:val="355F7EFA"/>
    <w:rsid w:val="36BB1BF3"/>
    <w:rsid w:val="38455ACD"/>
    <w:rsid w:val="39382F3B"/>
    <w:rsid w:val="39767E7C"/>
    <w:rsid w:val="3A345DF9"/>
    <w:rsid w:val="3A405292"/>
    <w:rsid w:val="3A64017E"/>
    <w:rsid w:val="3B31058A"/>
    <w:rsid w:val="3C257287"/>
    <w:rsid w:val="3C850EBF"/>
    <w:rsid w:val="3CB66F99"/>
    <w:rsid w:val="3DA908AC"/>
    <w:rsid w:val="3DE713D4"/>
    <w:rsid w:val="3E3143FD"/>
    <w:rsid w:val="3E391C30"/>
    <w:rsid w:val="4005796A"/>
    <w:rsid w:val="40262D2C"/>
    <w:rsid w:val="40E15AB2"/>
    <w:rsid w:val="4290203A"/>
    <w:rsid w:val="42AF6323"/>
    <w:rsid w:val="42E12896"/>
    <w:rsid w:val="45066278"/>
    <w:rsid w:val="455A490C"/>
    <w:rsid w:val="45823519"/>
    <w:rsid w:val="45B918A8"/>
    <w:rsid w:val="45F1078A"/>
    <w:rsid w:val="46CE7C01"/>
    <w:rsid w:val="480037BE"/>
    <w:rsid w:val="495C2806"/>
    <w:rsid w:val="498A7E02"/>
    <w:rsid w:val="4A6022F2"/>
    <w:rsid w:val="4AC733C6"/>
    <w:rsid w:val="4AE66C9B"/>
    <w:rsid w:val="4BED60EF"/>
    <w:rsid w:val="4C835767"/>
    <w:rsid w:val="4D152177"/>
    <w:rsid w:val="4E8D742E"/>
    <w:rsid w:val="4E9B4950"/>
    <w:rsid w:val="4F8D65A8"/>
    <w:rsid w:val="4FDF5118"/>
    <w:rsid w:val="5054659D"/>
    <w:rsid w:val="51295B34"/>
    <w:rsid w:val="514C537E"/>
    <w:rsid w:val="52C553E8"/>
    <w:rsid w:val="53A75290"/>
    <w:rsid w:val="53DF24DA"/>
    <w:rsid w:val="54204120"/>
    <w:rsid w:val="55EB785C"/>
    <w:rsid w:val="56081147"/>
    <w:rsid w:val="56D13385"/>
    <w:rsid w:val="57362D58"/>
    <w:rsid w:val="57494FF9"/>
    <w:rsid w:val="575651A9"/>
    <w:rsid w:val="59280E6F"/>
    <w:rsid w:val="599E6336"/>
    <w:rsid w:val="5A960A17"/>
    <w:rsid w:val="5ABB5323"/>
    <w:rsid w:val="5AF3622C"/>
    <w:rsid w:val="5B331489"/>
    <w:rsid w:val="5D066D29"/>
    <w:rsid w:val="5D756040"/>
    <w:rsid w:val="5EF05EE3"/>
    <w:rsid w:val="5F12261D"/>
    <w:rsid w:val="5F441D8B"/>
    <w:rsid w:val="5F4B4EC7"/>
    <w:rsid w:val="5FC86518"/>
    <w:rsid w:val="60100FF8"/>
    <w:rsid w:val="601B6F8F"/>
    <w:rsid w:val="60C413D5"/>
    <w:rsid w:val="60E5134B"/>
    <w:rsid w:val="619A2136"/>
    <w:rsid w:val="61BE30C3"/>
    <w:rsid w:val="61D45648"/>
    <w:rsid w:val="62943029"/>
    <w:rsid w:val="63DA0F0F"/>
    <w:rsid w:val="63FD075A"/>
    <w:rsid w:val="6470717E"/>
    <w:rsid w:val="64B045D6"/>
    <w:rsid w:val="66786720"/>
    <w:rsid w:val="67CC2C65"/>
    <w:rsid w:val="699B6D7C"/>
    <w:rsid w:val="69D97992"/>
    <w:rsid w:val="69EC7BB7"/>
    <w:rsid w:val="6A8B2F63"/>
    <w:rsid w:val="6B8005EE"/>
    <w:rsid w:val="6B800DA2"/>
    <w:rsid w:val="6C1402F2"/>
    <w:rsid w:val="6C1A00FB"/>
    <w:rsid w:val="6CEB0F53"/>
    <w:rsid w:val="6E5B49FB"/>
    <w:rsid w:val="6F6E5ACD"/>
    <w:rsid w:val="6FB27894"/>
    <w:rsid w:val="6FDD600F"/>
    <w:rsid w:val="71010E89"/>
    <w:rsid w:val="72007CAB"/>
    <w:rsid w:val="72347A3D"/>
    <w:rsid w:val="728A58AF"/>
    <w:rsid w:val="72B621DC"/>
    <w:rsid w:val="73ED07EB"/>
    <w:rsid w:val="75267B11"/>
    <w:rsid w:val="758B4081"/>
    <w:rsid w:val="77FE2FC7"/>
    <w:rsid w:val="78620F50"/>
    <w:rsid w:val="787E17C8"/>
    <w:rsid w:val="789564DE"/>
    <w:rsid w:val="7B762E74"/>
    <w:rsid w:val="7BEC6BEE"/>
    <w:rsid w:val="7C0C5586"/>
    <w:rsid w:val="7E4E183B"/>
    <w:rsid w:val="7F385010"/>
    <w:rsid w:val="7F3916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0"/>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customStyle="1" w:styleId="2">
    <w:name w:val="footer1"/>
    <w:basedOn w:val="1"/>
    <w:autoRedefine/>
    <w:qFormat/>
    <w:uiPriority w:val="0"/>
    <w:pPr>
      <w:tabs>
        <w:tab w:val="center" w:pos="4153"/>
        <w:tab w:val="right" w:pos="8306"/>
      </w:tabs>
      <w:snapToGrid w:val="0"/>
      <w:jc w:val="left"/>
    </w:pPr>
    <w:rPr>
      <w:sz w:val="18"/>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Indent"/>
    <w:basedOn w:val="1"/>
    <w:qFormat/>
    <w:uiPriority w:val="0"/>
    <w:pPr>
      <w:spacing w:after="120"/>
      <w:ind w:left="420" w:leftChars="200"/>
    </w:pPr>
    <w:rPr>
      <w:rFonts w:ascii="Times New Roman" w:hAnsi="Times New Roman" w:eastAsia="宋体" w:cs="Times New Roman"/>
    </w:rPr>
  </w:style>
  <w:style w:type="paragraph" w:styleId="6">
    <w:name w:val="Plain Text"/>
    <w:basedOn w:val="1"/>
    <w:qFormat/>
    <w:uiPriority w:val="0"/>
    <w:rPr>
      <w:rFonts w:ascii="宋体" w:hAnsi="Courier New"/>
    </w:rPr>
  </w:style>
  <w:style w:type="paragraph" w:styleId="7">
    <w:name w:val="Body Text Indent 2"/>
    <w:basedOn w:val="1"/>
    <w:next w:val="1"/>
    <w:qFormat/>
    <w:uiPriority w:val="0"/>
    <w:pPr>
      <w:spacing w:after="120" w:line="480" w:lineRule="auto"/>
      <w:ind w:left="200" w:leftChars="200"/>
    </w:pPr>
    <w:rPr>
      <w:rFonts w:ascii="Calibri" w:hAnsi="Calibri" w:eastAsia="宋体" w:cs="宋体"/>
      <w:sz w:val="21"/>
      <w:szCs w:val="22"/>
    </w:rPr>
  </w:style>
  <w:style w:type="paragraph" w:styleId="8">
    <w:name w:val="footer"/>
    <w:basedOn w:val="1"/>
    <w:autoRedefine/>
    <w:qFormat/>
    <w:uiPriority w:val="0"/>
    <w:pPr>
      <w:tabs>
        <w:tab w:val="center" w:pos="4153"/>
        <w:tab w:val="right" w:pos="8306"/>
      </w:tabs>
      <w:snapToGrid w:val="0"/>
      <w:jc w:val="left"/>
      <w:textAlignment w:val="baseline"/>
    </w:pPr>
    <w:rPr>
      <w:rFonts w:ascii="Times New Roman" w:hAnsi="Times New Roman" w:eastAsia="宋体"/>
      <w:kern w:val="2"/>
      <w:sz w:val="18"/>
      <w:szCs w:val="18"/>
      <w:lang w:val="en-US" w:eastAsia="zh-CN" w:bidi="ar-SA"/>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2"/>
    <w:basedOn w:val="5"/>
    <w:autoRedefine/>
    <w:qFormat/>
    <w:uiPriority w:val="0"/>
    <w:pPr>
      <w:ind w:firstLine="420" w:firstLineChars="200"/>
    </w:pPr>
    <w:rPr>
      <w:rFonts w:ascii="Times New Roman" w:hAnsi="Times New Roman" w:eastAsia="宋体" w:cs="Times New Roman"/>
    </w:rPr>
  </w:style>
  <w:style w:type="paragraph" w:customStyle="1" w:styleId="14">
    <w:name w:val="常用样式（方正仿宋简）"/>
    <w:basedOn w:val="1"/>
    <w:next w:val="1"/>
    <w:autoRedefine/>
    <w:qFormat/>
    <w:uiPriority w:val="0"/>
    <w:pPr>
      <w:spacing w:line="560" w:lineRule="exact"/>
      <w:ind w:firstLine="640" w:firstLineChars="200"/>
    </w:pPr>
    <w:rPr>
      <w:rFonts w:eastAsia="方正仿宋简体"/>
      <w:sz w:val="32"/>
      <w:szCs w:val="21"/>
    </w:rPr>
  </w:style>
  <w:style w:type="paragraph" w:customStyle="1" w:styleId="15">
    <w:name w:val="Default"/>
    <w:autoRedefine/>
    <w:qFormat/>
    <w:uiPriority w:val="0"/>
    <w:pPr>
      <w:widowControl w:val="0"/>
      <w:autoSpaceDE w:val="0"/>
      <w:autoSpaceDN w:val="0"/>
      <w:adjustRightInd w:val="0"/>
    </w:pPr>
    <w:rPr>
      <w:rFonts w:ascii="..ì." w:hAnsi="..ì." w:eastAsia="..ì." w:cs="..ì."/>
      <w:color w:val="000000"/>
      <w:sz w:val="24"/>
      <w:szCs w:val="24"/>
      <w:lang w:val="en-US" w:eastAsia="zh-CN" w:bidi="ar-SA"/>
    </w:rPr>
  </w:style>
  <w:style w:type="paragraph" w:customStyle="1" w:styleId="16">
    <w:name w:val="章标题"/>
    <w:basedOn w:val="1"/>
    <w:next w:val="1"/>
    <w:autoRedefine/>
    <w:qFormat/>
    <w:uiPriority w:val="99"/>
    <w:pPr>
      <w:spacing w:before="158" w:after="153" w:line="323" w:lineRule="atLeast"/>
      <w:ind w:right="-120"/>
      <w:jc w:val="center"/>
      <w:textAlignment w:val="baseline"/>
    </w:pPr>
    <w:rPr>
      <w:color w:val="FF0000"/>
      <w:sz w:val="18"/>
    </w:rPr>
  </w:style>
  <w:style w:type="paragraph" w:customStyle="1" w:styleId="17">
    <w:name w:val="节标题"/>
    <w:basedOn w:val="1"/>
    <w:next w:val="1"/>
    <w:autoRedefine/>
    <w:qFormat/>
    <w:uiPriority w:val="99"/>
    <w:pPr>
      <w:spacing w:line="289" w:lineRule="atLeast"/>
      <w:jc w:val="center"/>
      <w:textAlignment w:val="baseline"/>
    </w:pPr>
    <w:rPr>
      <w:color w:val="000000"/>
      <w:sz w:val="28"/>
    </w:rPr>
  </w:style>
  <w:style w:type="paragraph" w:customStyle="1" w:styleId="18">
    <w:name w:val="UserStyle_0"/>
    <w:basedOn w:val="19"/>
    <w:autoRedefine/>
    <w:qFormat/>
    <w:uiPriority w:val="0"/>
    <w:pPr>
      <w:spacing w:after="120" w:line="240" w:lineRule="auto"/>
      <w:ind w:left="420" w:leftChars="200" w:firstLine="420" w:firstLineChars="200"/>
      <w:jc w:val="both"/>
      <w:textAlignment w:val="baseline"/>
    </w:pPr>
    <w:rPr>
      <w:rFonts w:ascii="宋体" w:hAnsi="宋体" w:eastAsia="宋体"/>
      <w:kern w:val="2"/>
      <w:sz w:val="21"/>
      <w:szCs w:val="24"/>
      <w:lang w:val="en-US" w:eastAsia="zh-CN" w:bidi="ar-SA"/>
    </w:rPr>
  </w:style>
  <w:style w:type="paragraph" w:customStyle="1" w:styleId="19">
    <w:name w:val="UserStyle_1"/>
    <w:basedOn w:val="1"/>
    <w:autoRedefine/>
    <w:qFormat/>
    <w:uiPriority w:val="0"/>
    <w:pPr>
      <w:spacing w:line="240" w:lineRule="auto"/>
      <w:ind w:firstLine="600" w:firstLineChars="200"/>
      <w:jc w:val="both"/>
      <w:textAlignment w:val="baseline"/>
    </w:pPr>
    <w:rPr>
      <w:rFonts w:ascii="宋体" w:hAnsi="宋体" w:eastAsia="仿宋_GB2312"/>
      <w:kern w:val="2"/>
      <w:sz w:val="30"/>
      <w:szCs w:val="24"/>
      <w:lang w:val="en-US" w:eastAsia="zh-CN" w:bidi="ar-SA"/>
    </w:rPr>
  </w:style>
  <w:style w:type="character" w:customStyle="1" w:styleId="20">
    <w:name w:val="NormalCharacter"/>
    <w:link w:val="1"/>
    <w:autoRedefine/>
    <w:semiHidden/>
    <w:qFormat/>
    <w:uiPriority w:val="0"/>
  </w:style>
  <w:style w:type="table" w:customStyle="1" w:styleId="21">
    <w:name w:val="TableNormal"/>
    <w:autoRedefine/>
    <w:semiHidden/>
    <w:qFormat/>
    <w:uiPriority w:val="0"/>
  </w:style>
  <w:style w:type="paragraph" w:customStyle="1" w:styleId="22">
    <w:name w:val="UserStyle_2"/>
    <w:basedOn w:val="1"/>
    <w:next w:val="1"/>
    <w:autoRedefine/>
    <w:qFormat/>
    <w:uiPriority w:val="0"/>
    <w:pPr>
      <w:spacing w:line="560" w:lineRule="exact"/>
      <w:ind w:firstLine="640" w:firstLineChars="200"/>
      <w:jc w:val="both"/>
      <w:textAlignment w:val="baseline"/>
    </w:pPr>
    <w:rPr>
      <w:rFonts w:ascii="Times New Roman" w:hAnsi="Times New Roman" w:eastAsia="方正仿宋简体"/>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1498</Words>
  <Characters>1609</Characters>
  <Lines>0</Lines>
  <Paragraphs>0</Paragraphs>
  <TotalTime>1</TotalTime>
  <ScaleCrop>false</ScaleCrop>
  <LinksUpToDate>false</LinksUpToDate>
  <CharactersWithSpaces>1621</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2020-05-14T06:18:00Z</dcterms:created>
  <dc:creator>Administrator</dc:creator>
  <cp:lastModifiedBy>zhulingxi3</cp:lastModifiedBy>
  <cp:lastPrinted>2024-05-06T02:16:00Z</cp:lastPrinted>
  <dcterms:modified xsi:type="dcterms:W3CDTF">2024-05-06T07:31:07Z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44ED5341119046ECA3954505B5837BC8_13</vt:lpwstr>
  </property>
</Properties>
</file>